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9" w:rsidRDefault="008C3429" w:rsidP="008C3429">
      <w:pPr>
        <w:contextualSpacing/>
        <w:rPr>
          <w:b/>
        </w:rPr>
      </w:pPr>
      <w:bookmarkStart w:id="0" w:name="_GoBack"/>
      <w:bookmarkEnd w:id="0"/>
      <w:r w:rsidRPr="00743445">
        <w:rPr>
          <w:b/>
        </w:rPr>
        <w:t>Can I apply to be licensed as both a remediator and an assessor?</w:t>
      </w:r>
      <w:r>
        <w:rPr>
          <w:b/>
        </w:rPr>
        <w:t xml:space="preserve"> </w:t>
      </w:r>
    </w:p>
    <w:p w:rsidR="008C3429" w:rsidRPr="00BB5F58" w:rsidRDefault="008C3429" w:rsidP="008C3429">
      <w:pPr>
        <w:contextualSpacing/>
      </w:pPr>
      <w:r w:rsidRPr="00BB5F58">
        <w:t>Yes.</w:t>
      </w:r>
    </w:p>
    <w:p w:rsidR="008C3429" w:rsidRDefault="008C3429" w:rsidP="008C3429">
      <w:pPr>
        <w:contextualSpacing/>
        <w:rPr>
          <w:b/>
        </w:rPr>
      </w:pPr>
    </w:p>
    <w:p w:rsidR="008C3429" w:rsidRPr="00743445" w:rsidRDefault="008C3429" w:rsidP="008C3429">
      <w:pPr>
        <w:contextualSpacing/>
        <w:rPr>
          <w:b/>
        </w:rPr>
      </w:pPr>
      <w:r>
        <w:rPr>
          <w:b/>
        </w:rPr>
        <w:t xml:space="preserve">Can </w:t>
      </w:r>
      <w:r w:rsidRPr="00743445">
        <w:rPr>
          <w:b/>
        </w:rPr>
        <w:t>I assess and remediate the same project?</w:t>
      </w:r>
    </w:p>
    <w:p w:rsidR="008C3429" w:rsidRDefault="008C3429" w:rsidP="008C3429">
      <w:pPr>
        <w:contextualSpacing/>
      </w:pPr>
      <w:r>
        <w:t>If you have licenses for both assessment and remediation, you may perform in both capacities on the same project. However, you must disclose to the client that this presents a conflict of interest.</w:t>
      </w:r>
    </w:p>
    <w:p w:rsidR="008C3429" w:rsidRPr="00743445" w:rsidRDefault="008C3429" w:rsidP="008C3429">
      <w:pPr>
        <w:contextualSpacing/>
      </w:pPr>
    </w:p>
    <w:p w:rsidR="008C3429" w:rsidRPr="00743445" w:rsidRDefault="008C3429" w:rsidP="008C3429">
      <w:pPr>
        <w:contextualSpacing/>
        <w:rPr>
          <w:b/>
        </w:rPr>
      </w:pPr>
      <w:r w:rsidRPr="00743445">
        <w:rPr>
          <w:b/>
        </w:rPr>
        <w:t xml:space="preserve">What </w:t>
      </w:r>
      <w:r>
        <w:rPr>
          <w:b/>
        </w:rPr>
        <w:t>documents do I need to apply for a</w:t>
      </w:r>
      <w:r w:rsidRPr="00743445">
        <w:rPr>
          <w:b/>
        </w:rPr>
        <w:t xml:space="preserve"> license?</w:t>
      </w:r>
    </w:p>
    <w:p w:rsidR="008C3429" w:rsidRPr="00743445" w:rsidRDefault="008C3429" w:rsidP="008C3429">
      <w:pPr>
        <w:spacing w:after="0"/>
        <w:contextualSpacing/>
        <w:rPr>
          <w:rFonts w:cs="Arial"/>
        </w:rPr>
      </w:pPr>
      <w:r>
        <w:rPr>
          <w:rFonts w:cs="Arial"/>
        </w:rPr>
        <w:t>You need</w:t>
      </w:r>
      <w:r w:rsidRPr="00743445">
        <w:rPr>
          <w:rFonts w:cs="Arial"/>
        </w:rPr>
        <w:t xml:space="preserve"> </w:t>
      </w:r>
      <w:r>
        <w:rPr>
          <w:rFonts w:cs="Arial"/>
        </w:rPr>
        <w:t>proof of passing</w:t>
      </w:r>
      <w:r w:rsidRPr="00743445">
        <w:rPr>
          <w:rFonts w:cs="Arial"/>
        </w:rPr>
        <w:t xml:space="preserve"> a DOEE-approved </w:t>
      </w:r>
      <w:r>
        <w:rPr>
          <w:rFonts w:cs="Arial"/>
        </w:rPr>
        <w:t xml:space="preserve">examination within the last 2 years. </w:t>
      </w:r>
      <w:r w:rsidRPr="00743445">
        <w:rPr>
          <w:rFonts w:cs="Arial"/>
        </w:rPr>
        <w:t xml:space="preserve">A list of the DOEE-approved </w:t>
      </w:r>
      <w:r>
        <w:rPr>
          <w:rFonts w:cs="Arial"/>
        </w:rPr>
        <w:t>examinations</w:t>
      </w:r>
      <w:r w:rsidRPr="00743445">
        <w:rPr>
          <w:rFonts w:cs="Arial"/>
        </w:rPr>
        <w:t xml:space="preserve"> </w:t>
      </w:r>
      <w:r>
        <w:rPr>
          <w:rFonts w:cs="Arial"/>
        </w:rPr>
        <w:t>can be found on our website. You must be at least 18 years old and</w:t>
      </w:r>
      <w:r w:rsidRPr="00743445">
        <w:rPr>
          <w:rFonts w:cs="Arial"/>
        </w:rPr>
        <w:t xml:space="preserve"> meet at least one of the following education and experience requirements:</w:t>
      </w:r>
    </w:p>
    <w:p w:rsidR="008C3429" w:rsidRPr="00743445" w:rsidRDefault="008C3429" w:rsidP="008C3429">
      <w:pPr>
        <w:spacing w:after="0"/>
        <w:contextualSpacing/>
        <w:rPr>
          <w:rFonts w:cs="Arial"/>
        </w:rPr>
      </w:pPr>
    </w:p>
    <w:p w:rsidR="008C3429" w:rsidRPr="00743445" w:rsidRDefault="008C3429" w:rsidP="008C3429">
      <w:pPr>
        <w:pStyle w:val="ListParagraph"/>
        <w:numPr>
          <w:ilvl w:val="0"/>
          <w:numId w:val="1"/>
        </w:numPr>
        <w:spacing w:after="0"/>
        <w:rPr>
          <w:rFonts w:cs="Arial"/>
        </w:rPr>
      </w:pPr>
      <w:r w:rsidRPr="00743445">
        <w:rPr>
          <w:rFonts w:cs="Arial"/>
        </w:rPr>
        <w:t>At least a two</w:t>
      </w:r>
      <w:r>
        <w:rPr>
          <w:rFonts w:cs="Arial"/>
        </w:rPr>
        <w:t>-</w:t>
      </w:r>
      <w:r w:rsidRPr="00743445">
        <w:rPr>
          <w:rFonts w:cs="Arial"/>
        </w:rPr>
        <w:t>year associate</w:t>
      </w:r>
      <w:r>
        <w:rPr>
          <w:rFonts w:cs="Arial"/>
        </w:rPr>
        <w:t>’</w:t>
      </w:r>
      <w:r w:rsidRPr="00743445">
        <w:rPr>
          <w:rFonts w:cs="Arial"/>
        </w:rPr>
        <w:t>s degree or equivalent, with at least thirty semester hours in microbiology, engineering, architecture, industrial hygiene, occupational safety, or a related field of science from an accredited institution</w:t>
      </w:r>
      <w:r>
        <w:rPr>
          <w:rFonts w:cs="Arial"/>
        </w:rPr>
        <w:t>,</w:t>
      </w:r>
      <w:r w:rsidRPr="00743445">
        <w:rPr>
          <w:rFonts w:cs="Arial"/>
        </w:rPr>
        <w:t xml:space="preserve"> and a minimum of one year of documented relevant field experience;</w:t>
      </w:r>
    </w:p>
    <w:p w:rsidR="008C3429" w:rsidRPr="00743445" w:rsidRDefault="008C3429" w:rsidP="008C3429">
      <w:pPr>
        <w:pStyle w:val="ListParagraph"/>
        <w:numPr>
          <w:ilvl w:val="0"/>
          <w:numId w:val="1"/>
        </w:numPr>
        <w:spacing w:after="0"/>
        <w:rPr>
          <w:rFonts w:cs="Arial"/>
        </w:rPr>
      </w:pPr>
      <w:r w:rsidRPr="00743445">
        <w:rPr>
          <w:rFonts w:cs="Arial"/>
        </w:rPr>
        <w:t>A certified industrial hygienist, a professional engineer, a professional registered sanitarian, a certified safety professional, or a registered architect, with at least six months of documented relevant field experience; or</w:t>
      </w:r>
    </w:p>
    <w:p w:rsidR="008C3429" w:rsidRPr="00743445" w:rsidRDefault="008C3429" w:rsidP="008C3429">
      <w:pPr>
        <w:pStyle w:val="ListParagraph"/>
        <w:numPr>
          <w:ilvl w:val="0"/>
          <w:numId w:val="1"/>
        </w:numPr>
        <w:spacing w:after="0"/>
        <w:rPr>
          <w:rFonts w:cs="Arial"/>
        </w:rPr>
      </w:pPr>
      <w:r w:rsidRPr="00743445">
        <w:rPr>
          <w:rFonts w:cs="Arial"/>
        </w:rPr>
        <w:t>A high school diploma or the equivalent</w:t>
      </w:r>
      <w:r>
        <w:rPr>
          <w:rFonts w:cs="Arial"/>
        </w:rPr>
        <w:t>,</w:t>
      </w:r>
      <w:r w:rsidRPr="00743445">
        <w:rPr>
          <w:rFonts w:cs="Arial"/>
        </w:rPr>
        <w:t xml:space="preserve"> with a minimum of three years of documented relevant field experience.</w:t>
      </w:r>
    </w:p>
    <w:p w:rsidR="008C3429" w:rsidRPr="00743445" w:rsidRDefault="008C3429" w:rsidP="008C3429">
      <w:pPr>
        <w:spacing w:after="0"/>
        <w:contextualSpacing/>
        <w:rPr>
          <w:rFonts w:cs="Arial"/>
          <w:b/>
        </w:rPr>
      </w:pPr>
    </w:p>
    <w:p w:rsidR="008C3429" w:rsidRPr="00743445" w:rsidRDefault="008C3429" w:rsidP="008C3429">
      <w:pPr>
        <w:spacing w:after="0"/>
        <w:contextualSpacing/>
        <w:rPr>
          <w:rFonts w:cs="Arial"/>
          <w:b/>
        </w:rPr>
      </w:pPr>
      <w:r>
        <w:rPr>
          <w:rFonts w:cs="Arial"/>
          <w:b/>
        </w:rPr>
        <w:t>What is the cost to get a license</w:t>
      </w:r>
      <w:r w:rsidRPr="00743445">
        <w:rPr>
          <w:rFonts w:cs="Arial"/>
          <w:b/>
        </w:rPr>
        <w:t>?</w:t>
      </w:r>
    </w:p>
    <w:p w:rsidR="008C3429" w:rsidRPr="00743445" w:rsidRDefault="008C3429" w:rsidP="008C3429">
      <w:pPr>
        <w:spacing w:after="0"/>
        <w:contextualSpacing/>
        <w:rPr>
          <w:rFonts w:cs="Arial"/>
        </w:rPr>
      </w:pPr>
      <w:r w:rsidRPr="00743445">
        <w:rPr>
          <w:rFonts w:cs="Arial"/>
        </w:rPr>
        <w:t xml:space="preserve">The fee for </w:t>
      </w:r>
      <w:r>
        <w:rPr>
          <w:rFonts w:cs="Arial"/>
        </w:rPr>
        <w:t>each</w:t>
      </w:r>
      <w:r w:rsidRPr="00743445">
        <w:rPr>
          <w:rFonts w:cs="Arial"/>
        </w:rPr>
        <w:t xml:space="preserve"> license is $300.</w:t>
      </w:r>
    </w:p>
    <w:p w:rsidR="008C3429" w:rsidRPr="00743445" w:rsidRDefault="008C3429" w:rsidP="008C3429">
      <w:pPr>
        <w:spacing w:after="0"/>
        <w:contextualSpacing/>
        <w:rPr>
          <w:rFonts w:cs="Arial"/>
        </w:rPr>
      </w:pPr>
    </w:p>
    <w:p w:rsidR="008C3429" w:rsidRPr="00743445" w:rsidRDefault="008C3429" w:rsidP="008C3429">
      <w:pPr>
        <w:contextualSpacing/>
        <w:rPr>
          <w:b/>
        </w:rPr>
      </w:pPr>
      <w:r w:rsidRPr="00743445">
        <w:rPr>
          <w:b/>
        </w:rPr>
        <w:t xml:space="preserve">How long is </w:t>
      </w:r>
      <w:r>
        <w:rPr>
          <w:b/>
        </w:rPr>
        <w:t>a license</w:t>
      </w:r>
      <w:r w:rsidRPr="00743445">
        <w:rPr>
          <w:b/>
        </w:rPr>
        <w:t xml:space="preserve"> good for?</w:t>
      </w:r>
    </w:p>
    <w:p w:rsidR="008C3429" w:rsidRDefault="008C3429" w:rsidP="008C3429">
      <w:pPr>
        <w:contextualSpacing/>
      </w:pPr>
      <w:r>
        <w:t xml:space="preserve">Each </w:t>
      </w:r>
      <w:r w:rsidRPr="00743445">
        <w:t xml:space="preserve">license is </w:t>
      </w:r>
      <w:r>
        <w:t>valid</w:t>
      </w:r>
      <w:r w:rsidRPr="00743445">
        <w:t xml:space="preserve"> for 2 years, after which you have to renew. The cost of renewal is $105.</w:t>
      </w:r>
    </w:p>
    <w:p w:rsidR="008C3429" w:rsidRPr="00743445" w:rsidRDefault="008C3429" w:rsidP="008C3429">
      <w:pPr>
        <w:contextualSpacing/>
      </w:pPr>
    </w:p>
    <w:p w:rsidR="008C3429" w:rsidRPr="00743445" w:rsidRDefault="008C3429" w:rsidP="008C3429">
      <w:pPr>
        <w:contextualSpacing/>
        <w:rPr>
          <w:b/>
        </w:rPr>
      </w:pPr>
      <w:r w:rsidRPr="00743445">
        <w:rPr>
          <w:b/>
        </w:rPr>
        <w:t xml:space="preserve">Where </w:t>
      </w:r>
      <w:r>
        <w:rPr>
          <w:b/>
        </w:rPr>
        <w:t>can I take an exam that is DOEE-approved</w:t>
      </w:r>
      <w:r w:rsidRPr="00743445">
        <w:rPr>
          <w:b/>
        </w:rPr>
        <w:t>?</w:t>
      </w:r>
    </w:p>
    <w:p w:rsidR="008C3429" w:rsidRDefault="008C3429" w:rsidP="008C3429">
      <w:pPr>
        <w:contextualSpacing/>
      </w:pPr>
      <w:r w:rsidRPr="00743445">
        <w:t xml:space="preserve">DOEE-approved </w:t>
      </w:r>
      <w:r>
        <w:t>examinations</w:t>
      </w:r>
      <w:r w:rsidRPr="00743445">
        <w:t xml:space="preserve"> are listed on </w:t>
      </w:r>
      <w:r w:rsidRPr="00873ACD">
        <w:rPr>
          <w:color w:val="4F81BD" w:themeColor="accent1"/>
        </w:rPr>
        <w:t>our website</w:t>
      </w:r>
      <w:r w:rsidRPr="00743445">
        <w:t>.</w:t>
      </w:r>
      <w:r>
        <w:t xml:space="preserve"> For inquiries about taking an examination with a DOEE-approved examination provider, please contact the provider directly.</w:t>
      </w:r>
    </w:p>
    <w:p w:rsidR="008C3429" w:rsidRPr="00743445" w:rsidRDefault="008C3429" w:rsidP="008C3429">
      <w:pPr>
        <w:contextualSpacing/>
      </w:pPr>
    </w:p>
    <w:p w:rsidR="008C3429" w:rsidRDefault="008C3429" w:rsidP="008C3429">
      <w:pPr>
        <w:contextualSpacing/>
        <w:rPr>
          <w:b/>
        </w:rPr>
      </w:pPr>
      <w:r w:rsidRPr="00743445">
        <w:rPr>
          <w:b/>
        </w:rPr>
        <w:t>What insurance do I need?</w:t>
      </w:r>
    </w:p>
    <w:p w:rsidR="008C3429" w:rsidRDefault="008C3429" w:rsidP="008C3429">
      <w:pPr>
        <w:spacing w:after="0"/>
        <w:rPr>
          <w:rFonts w:cs="Arial"/>
          <w:sz w:val="20"/>
          <w:szCs w:val="20"/>
        </w:rPr>
      </w:pPr>
      <w:r>
        <w:t>All mold professionals must maintain a general liability insurance coverage of at least one million dollars, unless they are under an employer’s policy that maintains the same coverage. Licensed mold assessors</w:t>
      </w:r>
      <w:r w:rsidRPr="00743445">
        <w:t xml:space="preserve"> must </w:t>
      </w:r>
      <w:r>
        <w:t xml:space="preserve">additionally </w:t>
      </w:r>
      <w:r w:rsidRPr="00743445">
        <w:t>maintain errors and omissions insurance coverage for preliminary and post-remediation mold assessment</w:t>
      </w:r>
      <w:r>
        <w:t xml:space="preserve">. </w:t>
      </w:r>
      <w:r w:rsidRPr="008A1F67">
        <w:t>Licensed mold remediators must maintain</w:t>
      </w:r>
      <w:r w:rsidRPr="00655C42">
        <w:rPr>
          <w:rFonts w:cs="Arial"/>
        </w:rPr>
        <w:t xml:space="preserve"> specific coverage for mold-related and general pollution claims.</w:t>
      </w:r>
    </w:p>
    <w:p w:rsidR="008C3429" w:rsidRPr="00743445" w:rsidRDefault="008C3429" w:rsidP="008C3429">
      <w:pPr>
        <w:contextualSpacing/>
        <w:rPr>
          <w:b/>
        </w:rPr>
      </w:pPr>
    </w:p>
    <w:p w:rsidR="008C3429" w:rsidRPr="00743445" w:rsidRDefault="008C3429" w:rsidP="008C3429">
      <w:pPr>
        <w:contextualSpacing/>
        <w:rPr>
          <w:b/>
        </w:rPr>
      </w:pPr>
      <w:r>
        <w:rPr>
          <w:b/>
        </w:rPr>
        <w:t>Can I use a professional mold license from another state to obtain a District license?</w:t>
      </w:r>
    </w:p>
    <w:p w:rsidR="008C3429" w:rsidRDefault="008C3429" w:rsidP="008C3429">
      <w:pPr>
        <w:contextualSpacing/>
      </w:pPr>
      <w:r>
        <w:t xml:space="preserve">At this time, DOEE has not approved of out-of-state licenses that can seek reciprocity in the District of Columbia. </w:t>
      </w:r>
    </w:p>
    <w:p w:rsidR="008C3429" w:rsidRDefault="008C3429" w:rsidP="008C3429">
      <w:pPr>
        <w:contextualSpacing/>
      </w:pPr>
    </w:p>
    <w:p w:rsidR="008C3429" w:rsidRPr="00D737AB" w:rsidRDefault="008C3429" w:rsidP="008C3429">
      <w:pPr>
        <w:contextualSpacing/>
      </w:pPr>
      <w:r w:rsidRPr="00D737AB">
        <w:rPr>
          <w:b/>
        </w:rPr>
        <w:t>What pesticides, biocides, and disinfectants am I permitted to use?</w:t>
      </w:r>
    </w:p>
    <w:p w:rsidR="008C3429" w:rsidRPr="00D737AB" w:rsidRDefault="008C3429" w:rsidP="008C3429">
      <w:r w:rsidRPr="00D737AB">
        <w:rPr>
          <w:rFonts w:cs="Arial"/>
        </w:rPr>
        <w:t xml:space="preserve">Disinfectant, biocide, and antimicrobial products may only be used if specified in the mold remediation protocol and registered by the District of Columbia and the US EPA for the intended use. A searchable database of District-approved products can be found at the </w:t>
      </w:r>
      <w:hyperlink r:id="rId8" w:history="1">
        <w:r w:rsidRPr="00D737AB">
          <w:rPr>
            <w:rStyle w:val="Hyperlink"/>
            <w:rFonts w:cs="Arial"/>
          </w:rPr>
          <w:t>National Pesticide Information Retrieval System</w:t>
        </w:r>
      </w:hyperlink>
      <w:r>
        <w:rPr>
          <w:rStyle w:val="Hyperlink"/>
          <w:rFonts w:cs="Arial"/>
        </w:rPr>
        <w:t>.</w:t>
      </w:r>
    </w:p>
    <w:p w:rsidR="008C3429" w:rsidRPr="00F82D39" w:rsidRDefault="008C3429" w:rsidP="008C3429">
      <w:pPr>
        <w:rPr>
          <w:b/>
        </w:rPr>
      </w:pPr>
      <w:r w:rsidRPr="00F82D39">
        <w:rPr>
          <w:b/>
        </w:rPr>
        <w:t xml:space="preserve">Will I be penalized if I </w:t>
      </w:r>
      <w:r>
        <w:rPr>
          <w:b/>
        </w:rPr>
        <w:t>perform</w:t>
      </w:r>
      <w:r w:rsidRPr="00F82D39">
        <w:rPr>
          <w:b/>
        </w:rPr>
        <w:t xml:space="preserve"> mold assessment or remediation work </w:t>
      </w:r>
      <w:r>
        <w:rPr>
          <w:b/>
        </w:rPr>
        <w:t xml:space="preserve">without a </w:t>
      </w:r>
      <w:r w:rsidRPr="00F82D39">
        <w:rPr>
          <w:b/>
        </w:rPr>
        <w:t>license?</w:t>
      </w:r>
    </w:p>
    <w:p w:rsidR="008C3429" w:rsidRPr="00CD302C" w:rsidRDefault="008C3429" w:rsidP="008C3429">
      <w:r>
        <w:t xml:space="preserve">The Department will perform compliance assistance for one year starting on April 15, 2016.  During this time DOEE will perform outreach and education to assist entities with achieving compliance with District law. </w:t>
      </w:r>
      <w:r w:rsidRPr="00CD302C">
        <w:rPr>
          <w:bCs/>
        </w:rPr>
        <w:t>DOEE will also solicit tips from the public and conduct regular inspections, issuing warning letters to entities that are not in compliance. After the period of compliance assistance has</w:t>
      </w:r>
      <w:r>
        <w:rPr>
          <w:bCs/>
        </w:rPr>
        <w:t xml:space="preserve"> ended, DOEE may issue fines to unlicensed individuals who offer professional mold assessment or mold remediation services in the District.</w:t>
      </w: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Default="008C3429" w:rsidP="008C3429">
      <w:pPr>
        <w:rPr>
          <w:b/>
        </w:rPr>
      </w:pPr>
    </w:p>
    <w:p w:rsidR="008C3429" w:rsidRPr="00DC6172" w:rsidRDefault="008C3429" w:rsidP="008C3429"/>
    <w:p w:rsidR="008C3429" w:rsidRDefault="008C3429" w:rsidP="008C3429"/>
    <w:p w:rsidR="009966BD" w:rsidRDefault="009966BD"/>
    <w:sectPr w:rsidR="009966B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B1" w:rsidRDefault="00BD3CB1">
      <w:pPr>
        <w:spacing w:after="0"/>
      </w:pPr>
      <w:r>
        <w:separator/>
      </w:r>
    </w:p>
  </w:endnote>
  <w:endnote w:type="continuationSeparator" w:id="0">
    <w:p w:rsidR="00BD3CB1" w:rsidRDefault="00BD3C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2" w:rsidRDefault="008C3429" w:rsidP="00DC6172">
    <w:pPr>
      <w:pStyle w:val="Footer"/>
    </w:pPr>
    <w:r>
      <w:rPr>
        <w:noProof/>
        <w:sz w:val="26"/>
      </w:rPr>
      <w:drawing>
        <wp:anchor distT="0" distB="0" distL="114300" distR="114300" simplePos="0" relativeHeight="251660288" behindDoc="1" locked="0" layoutInCell="1" allowOverlap="1" wp14:anchorId="508F8A84" wp14:editId="2DC1C644">
          <wp:simplePos x="0" y="0"/>
          <wp:positionH relativeFrom="margin">
            <wp:posOffset>7092950</wp:posOffset>
          </wp:positionH>
          <wp:positionV relativeFrom="paragraph">
            <wp:posOffset>90805</wp:posOffset>
          </wp:positionV>
          <wp:extent cx="387350" cy="522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6B5" w:rsidRPr="0030116A" w:rsidRDefault="008C3429" w:rsidP="009326B5">
    <w:pPr>
      <w:pStyle w:val="Footer"/>
      <w:tabs>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2336" behindDoc="0" locked="0" layoutInCell="1" allowOverlap="1" wp14:anchorId="7DDFF026" wp14:editId="130CCCA8">
              <wp:simplePos x="0" y="0"/>
              <wp:positionH relativeFrom="page">
                <wp:posOffset>1943100</wp:posOffset>
              </wp:positionH>
              <wp:positionV relativeFrom="paragraph">
                <wp:posOffset>-132080</wp:posOffset>
              </wp:positionV>
              <wp:extent cx="4928870" cy="0"/>
              <wp:effectExtent l="0" t="0" r="24130" b="1905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6tEgIAACoEAAAOAAAAZHJzL2Uyb0RvYy54bWysU8GO2jAQvVfqP1i5QxKa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Fiu&#10;rRICAAAq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1312" behindDoc="1" locked="0" layoutInCell="1" allowOverlap="1" wp14:anchorId="6D13FD41" wp14:editId="32E7979B">
              <wp:simplePos x="0" y="0"/>
              <wp:positionH relativeFrom="column">
                <wp:align>center</wp:align>
              </wp:positionH>
              <wp:positionV relativeFrom="paragraph">
                <wp:posOffset>-457200</wp:posOffset>
              </wp:positionV>
              <wp:extent cx="6793992" cy="329184"/>
              <wp:effectExtent l="0" t="0" r="6985" b="0"/>
              <wp:wrapSquare wrapText="bothSides"/>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JfAIAAPw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BAf+WJfAIAAPw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4384" behindDoc="0" locked="0" layoutInCell="1" allowOverlap="1" wp14:anchorId="79AFEBD9" wp14:editId="6CF7DC2A">
          <wp:simplePos x="0" y="0"/>
          <wp:positionH relativeFrom="margin">
            <wp:posOffset>6015990</wp:posOffset>
          </wp:positionH>
          <wp:positionV relativeFrom="paragraph">
            <wp:posOffset>-411480</wp:posOffset>
          </wp:positionV>
          <wp:extent cx="521208" cy="704088"/>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3360" behindDoc="0" locked="0" layoutInCell="1" allowOverlap="1" wp14:anchorId="7BC62C84" wp14:editId="7CA6CE7E">
          <wp:simplePos x="0" y="0"/>
          <wp:positionH relativeFrom="page">
            <wp:posOffset>228600</wp:posOffset>
          </wp:positionH>
          <wp:positionV relativeFrom="paragraph">
            <wp:posOffset>-228600</wp:posOffset>
          </wp:positionV>
          <wp:extent cx="1645920" cy="42062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DC6172" w:rsidRDefault="00BD3CB1" w:rsidP="009326B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B1" w:rsidRDefault="00BD3CB1">
      <w:pPr>
        <w:spacing w:after="0"/>
      </w:pPr>
      <w:r>
        <w:separator/>
      </w:r>
    </w:p>
  </w:footnote>
  <w:footnote w:type="continuationSeparator" w:id="0">
    <w:p w:rsidR="00BD3CB1" w:rsidRDefault="00BD3C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72" w:rsidRPr="00674298" w:rsidRDefault="008C3429" w:rsidP="00DC6172">
    <w:pPr>
      <w:tabs>
        <w:tab w:val="left" w:pos="6553"/>
      </w:tabs>
      <w:jc w:val="center"/>
      <w:rPr>
        <w:b/>
      </w:rPr>
    </w:pPr>
    <w:r w:rsidRPr="00674298">
      <w:rPr>
        <w:noProof/>
      </w:rPr>
      <w:drawing>
        <wp:anchor distT="0" distB="0" distL="114300" distR="114300" simplePos="0" relativeHeight="251659264" behindDoc="0" locked="0" layoutInCell="1" allowOverlap="1" wp14:anchorId="0BF8F559" wp14:editId="68E9131F">
          <wp:simplePos x="0" y="0"/>
          <wp:positionH relativeFrom="page">
            <wp:posOffset>3593465</wp:posOffset>
          </wp:positionH>
          <wp:positionV relativeFrom="paragraph">
            <wp:posOffset>396240</wp:posOffset>
          </wp:positionV>
          <wp:extent cx="556260" cy="429895"/>
          <wp:effectExtent l="0" t="0" r="0" b="8255"/>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556260" cy="429895"/>
                  </a:xfrm>
                  <a:prstGeom prst="rect">
                    <a:avLst/>
                  </a:prstGeom>
                  <a:noFill/>
                </pic:spPr>
              </pic:pic>
            </a:graphicData>
          </a:graphic>
          <wp14:sizeRelH relativeFrom="margin">
            <wp14:pctWidth>0</wp14:pctWidth>
          </wp14:sizeRelH>
          <wp14:sizeRelV relativeFrom="margin">
            <wp14:pctHeight>0</wp14:pctHeight>
          </wp14:sizeRelV>
        </wp:anchor>
      </w:drawing>
    </w:r>
    <w:r w:rsidRPr="00674298">
      <w:rPr>
        <w:b/>
      </w:rPr>
      <w:t>GOVERNMENT OF THE DISTRICT OF COLUMBIA</w:t>
    </w:r>
    <w:r w:rsidRPr="00674298">
      <w:rPr>
        <w:b/>
      </w:rPr>
      <w:br/>
    </w:r>
    <w:r w:rsidRPr="00674298">
      <w:t>Department of Energy and Environment</w:t>
    </w:r>
  </w:p>
  <w:p w:rsidR="00DC6172" w:rsidRPr="00674298" w:rsidRDefault="00BD3CB1" w:rsidP="00DC6172">
    <w:pPr>
      <w:pStyle w:val="Header"/>
      <w:tabs>
        <w:tab w:val="right" w:pos="-4320"/>
      </w:tabs>
    </w:pPr>
  </w:p>
  <w:p w:rsidR="00DC6172" w:rsidRPr="00674298" w:rsidRDefault="00BD3CB1" w:rsidP="00DC6172">
    <w:pPr>
      <w:pStyle w:val="Header"/>
    </w:pPr>
  </w:p>
  <w:p w:rsidR="00DC6172" w:rsidRPr="00674298" w:rsidRDefault="00BD3CB1" w:rsidP="00DC6172">
    <w:pPr>
      <w:pStyle w:val="BodyText"/>
      <w:rPr>
        <w:rFonts w:asciiTheme="minorHAnsi" w:hAnsiTheme="minorHAnsi"/>
        <w:sz w:val="8"/>
      </w:rPr>
    </w:pPr>
  </w:p>
  <w:p w:rsidR="00DC6172" w:rsidRDefault="00BD3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47CC"/>
    <w:multiLevelType w:val="hybridMultilevel"/>
    <w:tmpl w:val="ADE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29"/>
    <w:rsid w:val="00866BF1"/>
    <w:rsid w:val="008C3429"/>
    <w:rsid w:val="009966BD"/>
    <w:rsid w:val="00BD3CB1"/>
    <w:rsid w:val="00FB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429"/>
    <w:pPr>
      <w:tabs>
        <w:tab w:val="center" w:pos="4680"/>
        <w:tab w:val="right" w:pos="9360"/>
      </w:tabs>
      <w:spacing w:after="0"/>
    </w:pPr>
  </w:style>
  <w:style w:type="character" w:customStyle="1" w:styleId="HeaderChar">
    <w:name w:val="Header Char"/>
    <w:basedOn w:val="DefaultParagraphFont"/>
    <w:link w:val="Header"/>
    <w:rsid w:val="008C3429"/>
  </w:style>
  <w:style w:type="paragraph" w:styleId="Footer">
    <w:name w:val="footer"/>
    <w:basedOn w:val="Normal"/>
    <w:link w:val="FooterChar"/>
    <w:uiPriority w:val="99"/>
    <w:unhideWhenUsed/>
    <w:rsid w:val="008C3429"/>
    <w:pPr>
      <w:tabs>
        <w:tab w:val="center" w:pos="4680"/>
        <w:tab w:val="right" w:pos="9360"/>
      </w:tabs>
      <w:spacing w:after="0"/>
    </w:pPr>
  </w:style>
  <w:style w:type="character" w:customStyle="1" w:styleId="FooterChar">
    <w:name w:val="Footer Char"/>
    <w:basedOn w:val="DefaultParagraphFont"/>
    <w:link w:val="Footer"/>
    <w:uiPriority w:val="99"/>
    <w:rsid w:val="008C3429"/>
  </w:style>
  <w:style w:type="paragraph" w:styleId="BodyText">
    <w:name w:val="Body Text"/>
    <w:basedOn w:val="Normal"/>
    <w:link w:val="BodyTextChar"/>
    <w:uiPriority w:val="1"/>
    <w:qFormat/>
    <w:rsid w:val="008C3429"/>
    <w:pPr>
      <w:widowControl w:val="0"/>
      <w:spacing w:after="0"/>
    </w:pPr>
    <w:rPr>
      <w:rFonts w:ascii="Arial" w:eastAsia="Arial" w:hAnsi="Arial" w:cs="Arial"/>
      <w:sz w:val="19"/>
      <w:szCs w:val="19"/>
    </w:rPr>
  </w:style>
  <w:style w:type="character" w:customStyle="1" w:styleId="BodyTextChar">
    <w:name w:val="Body Text Char"/>
    <w:basedOn w:val="DefaultParagraphFont"/>
    <w:link w:val="BodyText"/>
    <w:uiPriority w:val="1"/>
    <w:rsid w:val="008C3429"/>
    <w:rPr>
      <w:rFonts w:ascii="Arial" w:eastAsia="Arial" w:hAnsi="Arial" w:cs="Arial"/>
      <w:sz w:val="19"/>
      <w:szCs w:val="19"/>
    </w:rPr>
  </w:style>
  <w:style w:type="character" w:styleId="Hyperlink">
    <w:name w:val="Hyperlink"/>
    <w:basedOn w:val="DefaultParagraphFont"/>
    <w:uiPriority w:val="99"/>
    <w:unhideWhenUsed/>
    <w:rsid w:val="008C3429"/>
    <w:rPr>
      <w:color w:val="0000FF" w:themeColor="hyperlink"/>
      <w:u w:val="single"/>
    </w:rPr>
  </w:style>
  <w:style w:type="paragraph" w:styleId="ListParagraph">
    <w:name w:val="List Paragraph"/>
    <w:basedOn w:val="Normal"/>
    <w:uiPriority w:val="34"/>
    <w:qFormat/>
    <w:rsid w:val="008C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3429"/>
    <w:pPr>
      <w:tabs>
        <w:tab w:val="center" w:pos="4680"/>
        <w:tab w:val="right" w:pos="9360"/>
      </w:tabs>
      <w:spacing w:after="0"/>
    </w:pPr>
  </w:style>
  <w:style w:type="character" w:customStyle="1" w:styleId="HeaderChar">
    <w:name w:val="Header Char"/>
    <w:basedOn w:val="DefaultParagraphFont"/>
    <w:link w:val="Header"/>
    <w:rsid w:val="008C3429"/>
  </w:style>
  <w:style w:type="paragraph" w:styleId="Footer">
    <w:name w:val="footer"/>
    <w:basedOn w:val="Normal"/>
    <w:link w:val="FooterChar"/>
    <w:uiPriority w:val="99"/>
    <w:unhideWhenUsed/>
    <w:rsid w:val="008C3429"/>
    <w:pPr>
      <w:tabs>
        <w:tab w:val="center" w:pos="4680"/>
        <w:tab w:val="right" w:pos="9360"/>
      </w:tabs>
      <w:spacing w:after="0"/>
    </w:pPr>
  </w:style>
  <w:style w:type="character" w:customStyle="1" w:styleId="FooterChar">
    <w:name w:val="Footer Char"/>
    <w:basedOn w:val="DefaultParagraphFont"/>
    <w:link w:val="Footer"/>
    <w:uiPriority w:val="99"/>
    <w:rsid w:val="008C3429"/>
  </w:style>
  <w:style w:type="paragraph" w:styleId="BodyText">
    <w:name w:val="Body Text"/>
    <w:basedOn w:val="Normal"/>
    <w:link w:val="BodyTextChar"/>
    <w:uiPriority w:val="1"/>
    <w:qFormat/>
    <w:rsid w:val="008C3429"/>
    <w:pPr>
      <w:widowControl w:val="0"/>
      <w:spacing w:after="0"/>
    </w:pPr>
    <w:rPr>
      <w:rFonts w:ascii="Arial" w:eastAsia="Arial" w:hAnsi="Arial" w:cs="Arial"/>
      <w:sz w:val="19"/>
      <w:szCs w:val="19"/>
    </w:rPr>
  </w:style>
  <w:style w:type="character" w:customStyle="1" w:styleId="BodyTextChar">
    <w:name w:val="Body Text Char"/>
    <w:basedOn w:val="DefaultParagraphFont"/>
    <w:link w:val="BodyText"/>
    <w:uiPriority w:val="1"/>
    <w:rsid w:val="008C3429"/>
    <w:rPr>
      <w:rFonts w:ascii="Arial" w:eastAsia="Arial" w:hAnsi="Arial" w:cs="Arial"/>
      <w:sz w:val="19"/>
      <w:szCs w:val="19"/>
    </w:rPr>
  </w:style>
  <w:style w:type="character" w:styleId="Hyperlink">
    <w:name w:val="Hyperlink"/>
    <w:basedOn w:val="DefaultParagraphFont"/>
    <w:uiPriority w:val="99"/>
    <w:unhideWhenUsed/>
    <w:rsid w:val="008C3429"/>
    <w:rPr>
      <w:color w:val="0000FF" w:themeColor="hyperlink"/>
      <w:u w:val="single"/>
    </w:rPr>
  </w:style>
  <w:style w:type="paragraph" w:styleId="ListParagraph">
    <w:name w:val="List Paragraph"/>
    <w:basedOn w:val="Normal"/>
    <w:uiPriority w:val="34"/>
    <w:qFormat/>
    <w:rsid w:val="008C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irspublic.ceris.purdue.edu/state/state_menu.aspx?state=D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2016-07-21T20:57:00Z</dcterms:created>
  <dcterms:modified xsi:type="dcterms:W3CDTF">2016-08-04T14:25:00Z</dcterms:modified>
</cp:coreProperties>
</file>