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EE57" w14:textId="77777777" w:rsidR="00FC0C13" w:rsidRDefault="00FC0C13" w:rsidP="00FC0C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Green Building Advisory Council</w:t>
      </w:r>
      <w:r>
        <w:rPr>
          <w:rStyle w:val="eop"/>
          <w:rFonts w:ascii="Calibri" w:hAnsi="Calibri" w:cs="Calibri"/>
        </w:rPr>
        <w:t> </w:t>
      </w:r>
    </w:p>
    <w:p w14:paraId="33874956" w14:textId="77777777" w:rsidR="00FC0C13" w:rsidRDefault="00FC0C13" w:rsidP="00FC0C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Meeting Date: 12/2/2020</w:t>
      </w:r>
      <w:r>
        <w:rPr>
          <w:rStyle w:val="eop"/>
          <w:rFonts w:ascii="Calibri" w:hAnsi="Calibri" w:cs="Calibri"/>
        </w:rPr>
        <w:t> </w:t>
      </w:r>
    </w:p>
    <w:p w14:paraId="19E57129" w14:textId="0FEEBDA1" w:rsidR="00FC0C13" w:rsidRDefault="00FC0C13" w:rsidP="009F2B18">
      <w:pPr>
        <w:spacing w:after="0"/>
        <w:textAlignment w:val="baseline"/>
        <w:rPr>
          <w:rFonts w:eastAsiaTheme="minorEastAsia"/>
        </w:rPr>
      </w:pPr>
      <w:r w:rsidRPr="4A6BE9A8">
        <w:rPr>
          <w:rStyle w:val="normaltextrun"/>
          <w:rFonts w:ascii="Calibri" w:hAnsi="Calibri" w:cs="Calibri"/>
          <w:b/>
          <w:bCs/>
        </w:rPr>
        <w:t>Meeting Location: Online - </w:t>
      </w:r>
      <w:r w:rsidRPr="4A6BE9A8">
        <w:rPr>
          <w:rStyle w:val="spellingerror"/>
          <w:rFonts w:ascii="Calibri" w:hAnsi="Calibri" w:cs="Calibri"/>
          <w:b/>
          <w:bCs/>
        </w:rPr>
        <w:t>WebEx</w:t>
      </w:r>
      <w:r>
        <w:br/>
      </w:r>
      <w:r w:rsidR="5EF4ED3C" w:rsidRPr="009F2B18">
        <w:rPr>
          <w:rFonts w:eastAsiaTheme="minorEastAsia"/>
          <w:b/>
          <w:bCs/>
          <w:sz w:val="24"/>
          <w:szCs w:val="24"/>
        </w:rPr>
        <w:t>Link to recording:</w:t>
      </w:r>
      <w:r w:rsidR="5EF4ED3C" w:rsidRPr="009F2B18">
        <w:rPr>
          <w:rFonts w:eastAsiaTheme="minorEastAsia"/>
          <w:sz w:val="24"/>
          <w:szCs w:val="24"/>
        </w:rPr>
        <w:t xml:space="preserve"> </w:t>
      </w:r>
      <w:hyperlink r:id="rId8" w:history="1">
        <w:r w:rsidR="5EF4ED3C" w:rsidRPr="4A6BE9A8">
          <w:rPr>
            <w:rStyle w:val="Hyperlink"/>
            <w:rFonts w:ascii="Calibri" w:eastAsia="Calibri" w:hAnsi="Calibri" w:cs="Calibri"/>
            <w:color w:val="333333"/>
          </w:rPr>
          <w:t>https://dcnet.webex.com/dcnet/ldr.php?RCID=42be6265c85b4d609405e87714925699</w:t>
        </w:r>
      </w:hyperlink>
    </w:p>
    <w:p w14:paraId="681537E4" w14:textId="6EA4C04B" w:rsidR="00FC0C13" w:rsidRPr="009F2B18" w:rsidRDefault="00FC0C13" w:rsidP="4A6BE9A8">
      <w:pPr>
        <w:pStyle w:val="paragraph"/>
        <w:spacing w:before="0" w:beforeAutospacing="0" w:after="0" w:afterAutospacing="0"/>
        <w:textAlignment w:val="baseline"/>
        <w:rPr>
          <w:rFonts w:asciiTheme="minorHAnsi" w:eastAsiaTheme="minorEastAsia" w:hAnsiTheme="minorHAnsi" w:cstheme="minorBidi"/>
        </w:rPr>
      </w:pPr>
    </w:p>
    <w:p w14:paraId="110E02E4" w14:textId="77777777" w:rsidR="00FC0C13" w:rsidRDefault="00FC0C13" w:rsidP="00FC0C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91AF3B" w14:textId="77777777" w:rsidR="00FC0C13" w:rsidRDefault="00FC0C13" w:rsidP="00FC0C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FC5270" w14:textId="77777777" w:rsidR="00FC0C13" w:rsidRPr="00FC0C13" w:rsidRDefault="00FC0C13" w:rsidP="00FC0C13">
      <w:pPr>
        <w:rPr>
          <w:b/>
          <w:bCs/>
          <w:i/>
          <w:iCs/>
        </w:rPr>
      </w:pPr>
      <w:r>
        <w:rPr>
          <w:rStyle w:val="normaltextrun"/>
          <w:rFonts w:ascii="Calibri" w:hAnsi="Calibri" w:cs="Calibri"/>
          <w:b/>
          <w:bCs/>
        </w:rPr>
        <w:t>Attendees (all by </w:t>
      </w:r>
      <w:proofErr w:type="spellStart"/>
      <w:r>
        <w:rPr>
          <w:rStyle w:val="spellingerror"/>
          <w:rFonts w:ascii="Calibri" w:hAnsi="Calibri" w:cs="Calibri"/>
          <w:b/>
          <w:bCs/>
        </w:rPr>
        <w:t>Bluejeans</w:t>
      </w:r>
      <w:proofErr w:type="spellEnd"/>
      <w:r>
        <w:rPr>
          <w:rStyle w:val="normaltextrun"/>
          <w:rFonts w:ascii="Calibri" w:hAnsi="Calibri" w:cs="Calibri"/>
          <w:b/>
          <w:bCs/>
        </w:rPr>
        <w:t>/phone)</w:t>
      </w:r>
      <w:r>
        <w:rPr>
          <w:rStyle w:val="normaltextrun"/>
          <w:rFonts w:ascii="Calibri" w:hAnsi="Calibri" w:cs="Calibri"/>
        </w:rPr>
        <w:t>: Kate Johnson (DOEE)*, Michael Brown (DCRA), Fernando Arias (Clark Construction)*, </w:t>
      </w:r>
      <w:proofErr w:type="spellStart"/>
      <w:r>
        <w:rPr>
          <w:rStyle w:val="spellingerror"/>
          <w:rFonts w:ascii="Calibri" w:hAnsi="Calibri" w:cs="Calibri"/>
        </w:rPr>
        <w:t>Anica</w:t>
      </w:r>
      <w:proofErr w:type="spellEnd"/>
      <w:r>
        <w:rPr>
          <w:rStyle w:val="normaltextrun"/>
          <w:rFonts w:ascii="Calibri" w:hAnsi="Calibri" w:cs="Calibri"/>
        </w:rPr>
        <w:t> </w:t>
      </w:r>
      <w:proofErr w:type="spellStart"/>
      <w:r>
        <w:rPr>
          <w:rStyle w:val="spellingerror"/>
          <w:rFonts w:ascii="Calibri" w:hAnsi="Calibri" w:cs="Calibri"/>
        </w:rPr>
        <w:t>Landreneau</w:t>
      </w:r>
      <w:proofErr w:type="spellEnd"/>
      <w:r>
        <w:rPr>
          <w:rStyle w:val="normaltextrun"/>
          <w:rFonts w:ascii="Calibri" w:hAnsi="Calibri" w:cs="Calibri"/>
        </w:rPr>
        <w:t> (HOK)*, Cliff </w:t>
      </w:r>
      <w:proofErr w:type="spellStart"/>
      <w:r>
        <w:rPr>
          <w:rStyle w:val="spellingerror"/>
          <w:rFonts w:ascii="Calibri" w:hAnsi="Calibri" w:cs="Calibri"/>
        </w:rPr>
        <w:t>Majersik</w:t>
      </w:r>
      <w:proofErr w:type="spellEnd"/>
      <w:r>
        <w:rPr>
          <w:rStyle w:val="normaltextrun"/>
          <w:rFonts w:ascii="Calibri" w:hAnsi="Calibri" w:cs="Calibri"/>
        </w:rPr>
        <w:t> (IMT)*, Stephanie Plummer (Mom’s Clean Air Force)*,  Mark Bryan (USGBC-NCR), Jenn Hatch (DOEE), Casey Studhalter (DOEE), Katie </w:t>
      </w:r>
      <w:r>
        <w:rPr>
          <w:rStyle w:val="spellingerror"/>
          <w:rFonts w:ascii="Calibri" w:hAnsi="Calibri" w:cs="Calibri"/>
        </w:rPr>
        <w:t>Bergfeld</w:t>
      </w:r>
      <w:r>
        <w:rPr>
          <w:rStyle w:val="normaltextrun"/>
          <w:rFonts w:ascii="Calibri" w:hAnsi="Calibri" w:cs="Calibri"/>
        </w:rPr>
        <w:t> (DOEE), Jay Wilson (DOEE), Kathleen Berube (DOEE), Maribeth </w:t>
      </w:r>
      <w:proofErr w:type="spellStart"/>
      <w:r>
        <w:rPr>
          <w:rStyle w:val="spellingerror"/>
          <w:rFonts w:ascii="Calibri" w:hAnsi="Calibri" w:cs="Calibri"/>
        </w:rPr>
        <w:t>Delorenzo</w:t>
      </w:r>
      <w:proofErr w:type="spellEnd"/>
      <w:r>
        <w:rPr>
          <w:rStyle w:val="normaltextrun"/>
          <w:rFonts w:ascii="Calibri" w:hAnsi="Calibri" w:cs="Calibri"/>
        </w:rPr>
        <w:t xml:space="preserve"> (DOEE), Vinicio Linares (DOEE), Reena Agarwal (Center for Active Design), Sara </w:t>
      </w:r>
      <w:proofErr w:type="spellStart"/>
      <w:r>
        <w:rPr>
          <w:rStyle w:val="normaltextrun"/>
          <w:rFonts w:ascii="Calibri" w:hAnsi="Calibri" w:cs="Calibri"/>
        </w:rPr>
        <w:t>Karerat</w:t>
      </w:r>
      <w:proofErr w:type="spellEnd"/>
      <w:r>
        <w:rPr>
          <w:rStyle w:val="normaltextrun"/>
          <w:rFonts w:ascii="Calibri" w:hAnsi="Calibri" w:cs="Calibri"/>
        </w:rPr>
        <w:t xml:space="preserve"> (Center for Active Design), Michael Feldman-</w:t>
      </w:r>
      <w:proofErr w:type="spellStart"/>
      <w:r>
        <w:rPr>
          <w:rStyle w:val="normaltextrun"/>
          <w:rFonts w:ascii="Calibri" w:hAnsi="Calibri" w:cs="Calibri"/>
        </w:rPr>
        <w:t>Weincek</w:t>
      </w:r>
      <w:proofErr w:type="spellEnd"/>
      <w:r>
        <w:rPr>
          <w:rStyle w:val="normaltextrun"/>
          <w:rFonts w:ascii="Calibri" w:hAnsi="Calibri" w:cs="Calibri"/>
        </w:rPr>
        <w:t xml:space="preserve"> (DOEE), MaryLynn Wilhere (DOEE), </w:t>
      </w:r>
      <w:r>
        <w:rPr>
          <w:rStyle w:val="eop"/>
          <w:rFonts w:ascii="Calibri" w:hAnsi="Calibri" w:cs="Calibri"/>
        </w:rPr>
        <w:t> </w:t>
      </w:r>
      <w:r w:rsidRPr="00FC0C13">
        <w:t>Jason Hartke</w:t>
      </w:r>
      <w:r>
        <w:t xml:space="preserve"> (International WELL Building Institute), </w:t>
      </w:r>
      <w:r w:rsidRPr="00FC0C13">
        <w:t>Angela Spangler</w:t>
      </w:r>
      <w:r>
        <w:t xml:space="preserve"> (</w:t>
      </w:r>
      <w:r w:rsidRPr="00FC0C13">
        <w:t>International WELL Building Institute</w:t>
      </w:r>
      <w:r>
        <w:t>), Kristian Hoffland (DOEE)</w:t>
      </w:r>
    </w:p>
    <w:p w14:paraId="66F34AA8" w14:textId="77777777" w:rsidR="00BB4E59" w:rsidRDefault="00FC0C13" w:rsidP="00FC0C13">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i/>
          <w:iCs/>
        </w:rPr>
        <w:t>(*denotes members of the Green Building Advisory Council)</w:t>
      </w:r>
      <w:r>
        <w:rPr>
          <w:rStyle w:val="eop"/>
          <w:rFonts w:ascii="Calibri" w:hAnsi="Calibri" w:cs="Calibri"/>
        </w:rPr>
        <w:t> </w:t>
      </w:r>
    </w:p>
    <w:p w14:paraId="1E84032C" w14:textId="77777777" w:rsidR="00FC0C13" w:rsidRPr="00FC0C13" w:rsidRDefault="00FC0C13" w:rsidP="00FC0C13">
      <w:pPr>
        <w:pStyle w:val="paragraph"/>
        <w:spacing w:before="0" w:beforeAutospacing="0" w:after="0" w:afterAutospacing="0"/>
        <w:jc w:val="both"/>
        <w:textAlignment w:val="baseline"/>
        <w:rPr>
          <w:rFonts w:ascii="Segoe UI" w:hAnsi="Segoe UI" w:cs="Segoe UI"/>
          <w:sz w:val="18"/>
          <w:szCs w:val="18"/>
        </w:rPr>
      </w:pPr>
    </w:p>
    <w:p w14:paraId="497A774A" w14:textId="77777777" w:rsidR="00BB4E59" w:rsidRPr="00E420B2" w:rsidRDefault="00E420B2">
      <w:pPr>
        <w:rPr>
          <w:b/>
          <w:bCs/>
        </w:rPr>
      </w:pPr>
      <w:r w:rsidRPr="00E420B2">
        <w:rPr>
          <w:b/>
          <w:bCs/>
        </w:rPr>
        <w:t xml:space="preserve">Administrative Items – </w:t>
      </w:r>
      <w:r w:rsidRPr="00E420B2">
        <w:rPr>
          <w:b/>
          <w:bCs/>
          <w:i/>
          <w:iCs/>
        </w:rPr>
        <w:t>Kate Johnson, DOEE</w:t>
      </w:r>
    </w:p>
    <w:p w14:paraId="7A3F3695" w14:textId="77777777" w:rsidR="00E420B2" w:rsidRDefault="00BB4E59" w:rsidP="00E420B2">
      <w:pPr>
        <w:pStyle w:val="ListParagraph"/>
        <w:numPr>
          <w:ilvl w:val="0"/>
          <w:numId w:val="2"/>
        </w:numPr>
      </w:pPr>
      <w:r>
        <w:t>Members may be hearing from MOTA about renewing membership terms</w:t>
      </w:r>
    </w:p>
    <w:p w14:paraId="661DF720" w14:textId="77777777" w:rsidR="00E420B2" w:rsidRDefault="00BB4E59" w:rsidP="00E420B2">
      <w:pPr>
        <w:pStyle w:val="ListParagraph"/>
        <w:numPr>
          <w:ilvl w:val="0"/>
          <w:numId w:val="2"/>
        </w:numPr>
      </w:pPr>
      <w:r>
        <w:t xml:space="preserve">Some members are rolling off and will need to be replaced </w:t>
      </w:r>
    </w:p>
    <w:p w14:paraId="269E705A" w14:textId="77777777" w:rsidR="00E420B2" w:rsidRDefault="00BB4E59" w:rsidP="00E420B2">
      <w:pPr>
        <w:pStyle w:val="ListParagraph"/>
        <w:numPr>
          <w:ilvl w:val="0"/>
          <w:numId w:val="2"/>
        </w:numPr>
      </w:pPr>
      <w:r>
        <w:t>Open to recommendations – sent to Kathleen Berube</w:t>
      </w:r>
    </w:p>
    <w:p w14:paraId="2748EB7D" w14:textId="77777777" w:rsidR="00BB4E59" w:rsidRDefault="00BB4E59" w:rsidP="00E420B2">
      <w:pPr>
        <w:pStyle w:val="ListParagraph"/>
        <w:numPr>
          <w:ilvl w:val="0"/>
          <w:numId w:val="2"/>
        </w:numPr>
      </w:pPr>
      <w:r>
        <w:t>Can also apply directly through MOTA website</w:t>
      </w:r>
    </w:p>
    <w:p w14:paraId="337ED621" w14:textId="77777777" w:rsidR="00BB4E59" w:rsidRPr="00E420B2" w:rsidRDefault="00E420B2">
      <w:pPr>
        <w:rPr>
          <w:b/>
          <w:bCs/>
          <w:i/>
          <w:iCs/>
        </w:rPr>
      </w:pPr>
      <w:r w:rsidRPr="00E420B2">
        <w:rPr>
          <w:b/>
          <w:bCs/>
        </w:rPr>
        <w:t xml:space="preserve">DOEE Green Building Fund Budget – </w:t>
      </w:r>
      <w:r w:rsidRPr="00E420B2">
        <w:rPr>
          <w:b/>
          <w:bCs/>
          <w:i/>
          <w:iCs/>
        </w:rPr>
        <w:t>Kate Johnson, DOEE</w:t>
      </w:r>
    </w:p>
    <w:p w14:paraId="23E980EA" w14:textId="77777777" w:rsidR="00BB4E59" w:rsidRDefault="00BB4E59" w:rsidP="00E420B2">
      <w:pPr>
        <w:pStyle w:val="ListParagraph"/>
        <w:numPr>
          <w:ilvl w:val="0"/>
          <w:numId w:val="6"/>
        </w:numPr>
      </w:pPr>
      <w:r>
        <w:t xml:space="preserve">Green Building Fund </w:t>
      </w:r>
      <w:r w:rsidR="00A351BB">
        <w:t xml:space="preserve">is a special purpose revenue fund </w:t>
      </w:r>
      <w:r>
        <w:t>collected by DCRA, distributed to DOEE via MOU annually</w:t>
      </w:r>
      <w:r w:rsidR="00A351BB">
        <w:t>.  Unspent balances can be carried over into next fiscal year, unlike other funds.</w:t>
      </w:r>
    </w:p>
    <w:p w14:paraId="50034B14" w14:textId="13105D16" w:rsidR="00BB4E59" w:rsidRDefault="00BB4E59" w:rsidP="00E420B2">
      <w:pPr>
        <w:pStyle w:val="ListParagraph"/>
        <w:numPr>
          <w:ilvl w:val="0"/>
          <w:numId w:val="6"/>
        </w:numPr>
      </w:pPr>
      <w:r>
        <w:t>Past years</w:t>
      </w:r>
      <w:r w:rsidR="2EC104BE">
        <w:t xml:space="preserve"> revenue</w:t>
      </w:r>
      <w:r>
        <w:t xml:space="preserve"> ha</w:t>
      </w:r>
      <w:r w:rsidR="220F6867">
        <w:t>s</w:t>
      </w:r>
      <w:r>
        <w:t xml:space="preserve"> been approximately $2M.  For FY21,</w:t>
      </w:r>
      <w:r w:rsidR="00E420B2">
        <w:t xml:space="preserve"> </w:t>
      </w:r>
      <w:r>
        <w:t>DOEE receiving approximately $900k</w:t>
      </w:r>
    </w:p>
    <w:p w14:paraId="29640F57" w14:textId="77777777" w:rsidR="00BB4E59" w:rsidRDefault="00BB4E59" w:rsidP="00E420B2">
      <w:pPr>
        <w:pStyle w:val="ListParagraph"/>
        <w:numPr>
          <w:ilvl w:val="0"/>
          <w:numId w:val="6"/>
        </w:numPr>
      </w:pPr>
      <w:r>
        <w:t>DOEE FY21 budget for Green Building Fund shared</w:t>
      </w:r>
    </w:p>
    <w:p w14:paraId="7EAD449C" w14:textId="77777777" w:rsidR="00BB4E59" w:rsidRDefault="00BB4E59" w:rsidP="00E420B2">
      <w:pPr>
        <w:pStyle w:val="ListParagraph"/>
        <w:numPr>
          <w:ilvl w:val="0"/>
          <w:numId w:val="6"/>
        </w:numPr>
      </w:pPr>
      <w:r>
        <w:t>Largest expense is staff salary with 4.8 FTEs funded.  Spread out over several staff members with partial salary support.</w:t>
      </w:r>
    </w:p>
    <w:p w14:paraId="582E03DD" w14:textId="77777777" w:rsidR="00BB4E59" w:rsidRDefault="00BB4E59" w:rsidP="00E420B2">
      <w:pPr>
        <w:pStyle w:val="ListParagraph"/>
        <w:numPr>
          <w:ilvl w:val="0"/>
          <w:numId w:val="6"/>
        </w:numPr>
      </w:pPr>
      <w:r>
        <w:t xml:space="preserve">Largest non-personnel expense is grants at $330k.  </w:t>
      </w:r>
    </w:p>
    <w:p w14:paraId="78572467" w14:textId="77777777" w:rsidR="00B635E1" w:rsidRDefault="00E420B2" w:rsidP="00E420B2">
      <w:pPr>
        <w:pStyle w:val="ListParagraph"/>
        <w:numPr>
          <w:ilvl w:val="1"/>
          <w:numId w:val="6"/>
        </w:numPr>
      </w:pPr>
      <w:r>
        <w:t>Building</w:t>
      </w:r>
      <w:r w:rsidR="00B635E1">
        <w:t xml:space="preserve"> Innovation Hub</w:t>
      </w:r>
    </w:p>
    <w:p w14:paraId="421C6B92" w14:textId="77777777" w:rsidR="00B635E1" w:rsidRDefault="00B635E1" w:rsidP="00E420B2">
      <w:pPr>
        <w:pStyle w:val="ListParagraph"/>
        <w:numPr>
          <w:ilvl w:val="1"/>
          <w:numId w:val="6"/>
        </w:numPr>
      </w:pPr>
      <w:r>
        <w:t>NZE Design Assistance and Embodied Carbon</w:t>
      </w:r>
    </w:p>
    <w:p w14:paraId="57578619" w14:textId="77777777" w:rsidR="00B635E1" w:rsidRDefault="00B635E1" w:rsidP="00E420B2">
      <w:pPr>
        <w:pStyle w:val="ListParagraph"/>
        <w:numPr>
          <w:ilvl w:val="1"/>
          <w:numId w:val="6"/>
        </w:numPr>
      </w:pPr>
      <w:r>
        <w:t>Carbon Neutrality Strategy</w:t>
      </w:r>
    </w:p>
    <w:p w14:paraId="53C0408D" w14:textId="77777777" w:rsidR="00B635E1" w:rsidRDefault="00A351BB" w:rsidP="00E420B2">
      <w:pPr>
        <w:pStyle w:val="ListParagraph"/>
        <w:numPr>
          <w:ilvl w:val="1"/>
          <w:numId w:val="6"/>
        </w:numPr>
      </w:pPr>
      <w:r>
        <w:t>DCRA partnership to support Energy Code compliance and entrepreneurship</w:t>
      </w:r>
    </w:p>
    <w:p w14:paraId="11794867" w14:textId="77777777" w:rsidR="00BB4E59" w:rsidRDefault="00BB4E59" w:rsidP="00E420B2">
      <w:pPr>
        <w:pStyle w:val="ListParagraph"/>
        <w:numPr>
          <w:ilvl w:val="0"/>
          <w:numId w:val="6"/>
        </w:numPr>
      </w:pPr>
      <w:r>
        <w:t>Third largest expense is professional services and memberships at $76k, which includes MWCOG (including BE-EAC), USGBC, DCBIA, etc</w:t>
      </w:r>
      <w:r w:rsidR="00E420B2">
        <w:t>.</w:t>
      </w:r>
    </w:p>
    <w:p w14:paraId="74DB4F76" w14:textId="77777777" w:rsidR="00BB4E59" w:rsidRDefault="00A351BB" w:rsidP="00E420B2">
      <w:pPr>
        <w:pStyle w:val="ListParagraph"/>
        <w:numPr>
          <w:ilvl w:val="0"/>
          <w:numId w:val="6"/>
        </w:numPr>
      </w:pPr>
      <w:r>
        <w:lastRenderedPageBreak/>
        <w:t>High level update from DCRA</w:t>
      </w:r>
      <w:r w:rsidR="00E420B2">
        <w:t>:</w:t>
      </w:r>
      <w:r>
        <w:t xml:space="preserve"> </w:t>
      </w:r>
      <w:r w:rsidRPr="00A351BB">
        <w:t>The Director will release a detailed income statement once the Finance Office completed their work. Estimated $1.9 million revenue and expenditures in FY2020.  The Council swept ~$80,000 this year. The carry</w:t>
      </w:r>
      <w:r w:rsidR="00E420B2">
        <w:t>-</w:t>
      </w:r>
      <w:r w:rsidRPr="00A351BB">
        <w:t xml:space="preserve">over from previous years of ~$1.0 million </w:t>
      </w:r>
      <w:r w:rsidR="00E420B2">
        <w:t xml:space="preserve">is consistent </w:t>
      </w:r>
    </w:p>
    <w:p w14:paraId="1C845CFA" w14:textId="2F6C1195" w:rsidR="00A351BB" w:rsidRDefault="00A351BB" w:rsidP="00E420B2">
      <w:pPr>
        <w:pStyle w:val="ListParagraph"/>
        <w:numPr>
          <w:ilvl w:val="0"/>
          <w:numId w:val="6"/>
        </w:numPr>
      </w:pPr>
      <w:r>
        <w:t>Detailed</w:t>
      </w:r>
      <w:r w:rsidR="4DAA4DEF">
        <w:t xml:space="preserve"> DCRA</w:t>
      </w:r>
      <w:r>
        <w:t xml:space="preserve"> budget for FY21 presentation anticipated at next GBAC</w:t>
      </w:r>
    </w:p>
    <w:p w14:paraId="1CEFA715" w14:textId="77777777" w:rsidR="00A351BB" w:rsidRDefault="00A351BB" w:rsidP="00E420B2">
      <w:pPr>
        <w:pStyle w:val="ListParagraph"/>
        <w:numPr>
          <w:ilvl w:val="0"/>
          <w:numId w:val="6"/>
        </w:numPr>
      </w:pPr>
      <w:r>
        <w:t>Desire expressed to see</w:t>
      </w:r>
      <w:r w:rsidR="00E420B2">
        <w:t xml:space="preserve"> DOEE and</w:t>
      </w:r>
      <w:r>
        <w:t xml:space="preserve"> DCRA expenditures by staff focus area</w:t>
      </w:r>
    </w:p>
    <w:p w14:paraId="30E99650" w14:textId="7BD99EDC" w:rsidR="00E420B2" w:rsidRDefault="00A351BB" w:rsidP="00E420B2">
      <w:pPr>
        <w:pStyle w:val="ListParagraph"/>
        <w:numPr>
          <w:ilvl w:val="0"/>
          <w:numId w:val="6"/>
        </w:numPr>
      </w:pPr>
      <w:r>
        <w:t xml:space="preserve">Seth </w:t>
      </w:r>
      <w:r w:rsidR="337CAF45">
        <w:t xml:space="preserve">mentioned </w:t>
      </w:r>
      <w:r>
        <w:t xml:space="preserve">an amendment in FY 21 Budget Support Act of 2020 about Green Building Fund being used for nuisance property abatement.  Referenced an article - https://www.sierraclub.org/dc/blog/2020/06/sierra-club-opposes-raid-dcs-green-building-fund.  </w:t>
      </w:r>
      <w:r w:rsidR="0E199E50">
        <w:t xml:space="preserve">The amendment did not move </w:t>
      </w:r>
      <w:r>
        <w:t>forward</w:t>
      </w:r>
    </w:p>
    <w:p w14:paraId="0C38520F" w14:textId="77777777" w:rsidR="00A351BB" w:rsidRDefault="00E420B2" w:rsidP="00E420B2">
      <w:pPr>
        <w:pStyle w:val="ListParagraph"/>
        <w:numPr>
          <w:ilvl w:val="0"/>
          <w:numId w:val="6"/>
        </w:numPr>
      </w:pPr>
      <w:r>
        <w:t xml:space="preserve">Private sector members of the GBAC submitted a letter to council saying they were opposed to the Green Building Fund being used for property abatement </w:t>
      </w:r>
      <w:r w:rsidR="00A351BB">
        <w:t xml:space="preserve">   </w:t>
      </w:r>
    </w:p>
    <w:p w14:paraId="67B0B881" w14:textId="77777777" w:rsidR="00A351BB" w:rsidRPr="00E420B2" w:rsidRDefault="00E420B2">
      <w:pPr>
        <w:rPr>
          <w:b/>
          <w:bCs/>
        </w:rPr>
      </w:pPr>
      <w:r w:rsidRPr="00E420B2">
        <w:rPr>
          <w:b/>
          <w:bCs/>
        </w:rPr>
        <w:t>Fitwell Viral Response Module</w:t>
      </w:r>
      <w:r>
        <w:rPr>
          <w:b/>
          <w:bCs/>
        </w:rPr>
        <w:t xml:space="preserve"> - </w:t>
      </w:r>
      <w:r w:rsidRPr="00E420B2">
        <w:rPr>
          <w:b/>
          <w:bCs/>
          <w:i/>
          <w:iCs/>
        </w:rPr>
        <w:t xml:space="preserve">Reena Agarwal and Sara </w:t>
      </w:r>
      <w:proofErr w:type="spellStart"/>
      <w:r w:rsidRPr="00E420B2">
        <w:rPr>
          <w:b/>
          <w:bCs/>
          <w:i/>
          <w:iCs/>
        </w:rPr>
        <w:t>Karerat</w:t>
      </w:r>
      <w:proofErr w:type="spellEnd"/>
      <w:r w:rsidRPr="00E420B2">
        <w:rPr>
          <w:b/>
          <w:bCs/>
          <w:i/>
          <w:iCs/>
        </w:rPr>
        <w:t>, Center for Active Design</w:t>
      </w:r>
    </w:p>
    <w:p w14:paraId="01A30967" w14:textId="77777777" w:rsidR="00E420B2" w:rsidRDefault="00E420B2" w:rsidP="007520B8">
      <w:pPr>
        <w:pStyle w:val="ListParagraph"/>
        <w:numPr>
          <w:ilvl w:val="0"/>
          <w:numId w:val="7"/>
        </w:numPr>
      </w:pPr>
      <w:r>
        <w:t>Presentation stemmed from the work of the COVID-19 subgroup, comprised of GBAC members</w:t>
      </w:r>
    </w:p>
    <w:p w14:paraId="66AC7468" w14:textId="77777777" w:rsidR="00E420B2" w:rsidRDefault="00E420B2" w:rsidP="007520B8">
      <w:pPr>
        <w:pStyle w:val="ListParagraph"/>
        <w:numPr>
          <w:ilvl w:val="0"/>
          <w:numId w:val="7"/>
        </w:numPr>
      </w:pPr>
      <w:r>
        <w:t xml:space="preserve">Module focuses on </w:t>
      </w:r>
      <w:proofErr w:type="gramStart"/>
      <w:r>
        <w:t>science based</w:t>
      </w:r>
      <w:proofErr w:type="gramEnd"/>
      <w:r>
        <w:t xml:space="preserve"> research from the CDC</w:t>
      </w:r>
      <w:r w:rsidR="007520B8">
        <w:t xml:space="preserve"> to mitigate the spread of all diseases, particularly COVID-19</w:t>
      </w:r>
    </w:p>
    <w:p w14:paraId="00FA9845" w14:textId="77777777" w:rsidR="00E420B2" w:rsidRDefault="00E420B2" w:rsidP="007520B8">
      <w:pPr>
        <w:pStyle w:val="ListParagraph"/>
        <w:numPr>
          <w:ilvl w:val="0"/>
          <w:numId w:val="7"/>
        </w:numPr>
      </w:pPr>
      <w:r>
        <w:t xml:space="preserve">Features minimum requirements to be achieved in each of three major categories, enhanced indoor environments, behavioral change, and occupant trust </w:t>
      </w:r>
    </w:p>
    <w:p w14:paraId="28B04FE2" w14:textId="77777777" w:rsidR="00826C76" w:rsidRDefault="005072D3" w:rsidP="007520B8">
      <w:pPr>
        <w:pStyle w:val="ListParagraph"/>
        <w:numPr>
          <w:ilvl w:val="0"/>
          <w:numId w:val="7"/>
        </w:numPr>
      </w:pPr>
      <w:r>
        <w:t>Applicants can become certified at the base level (70%) or become certified with distinction (90%)</w:t>
      </w:r>
    </w:p>
    <w:p w14:paraId="0EF54927" w14:textId="77777777" w:rsidR="005072D3" w:rsidRDefault="007520B8" w:rsidP="007520B8">
      <w:pPr>
        <w:pStyle w:val="ListParagraph"/>
        <w:numPr>
          <w:ilvl w:val="0"/>
          <w:numId w:val="7"/>
        </w:numPr>
      </w:pPr>
      <w:r>
        <w:t>Tenants and residents are demanding these kinds of certifications and landlords and owners are pursing them to attract tenants</w:t>
      </w:r>
    </w:p>
    <w:p w14:paraId="7304170C" w14:textId="77777777" w:rsidR="007520B8" w:rsidRPr="007520B8" w:rsidRDefault="007520B8" w:rsidP="007520B8">
      <w:pPr>
        <w:rPr>
          <w:b/>
          <w:bCs/>
          <w:i/>
          <w:iCs/>
        </w:rPr>
      </w:pPr>
      <w:r w:rsidRPr="007520B8">
        <w:rPr>
          <w:b/>
          <w:bCs/>
        </w:rPr>
        <w:t xml:space="preserve">WELL Building Certification and COVID-19 – </w:t>
      </w:r>
      <w:r w:rsidR="00BB4771" w:rsidRPr="00BB4771">
        <w:rPr>
          <w:b/>
          <w:bCs/>
          <w:i/>
          <w:iCs/>
        </w:rPr>
        <w:t xml:space="preserve">Jason Hartke and Angela Spangler, </w:t>
      </w:r>
      <w:r w:rsidRPr="00BB4771">
        <w:rPr>
          <w:b/>
          <w:bCs/>
          <w:i/>
          <w:iCs/>
        </w:rPr>
        <w:t>International</w:t>
      </w:r>
      <w:r w:rsidRPr="007520B8">
        <w:rPr>
          <w:b/>
          <w:bCs/>
          <w:i/>
          <w:iCs/>
        </w:rPr>
        <w:t xml:space="preserve"> WELL Building Institute</w:t>
      </w:r>
    </w:p>
    <w:p w14:paraId="7EF5208D" w14:textId="77777777" w:rsidR="00BB4771" w:rsidRDefault="00BB4771" w:rsidP="00BB4771">
      <w:pPr>
        <w:pStyle w:val="ListParagraph"/>
        <w:numPr>
          <w:ilvl w:val="0"/>
          <w:numId w:val="8"/>
        </w:numPr>
      </w:pPr>
      <w:r>
        <w:t xml:space="preserve">WELL is a wholistic standard focusing on health and </w:t>
      </w:r>
      <w:proofErr w:type="spellStart"/>
      <w:r>
        <w:t>well being</w:t>
      </w:r>
      <w:proofErr w:type="spellEnd"/>
      <w:r>
        <w:t xml:space="preserve"> in the built environment</w:t>
      </w:r>
    </w:p>
    <w:p w14:paraId="1CEECD1E" w14:textId="77777777" w:rsidR="007520B8" w:rsidRDefault="00BB4771" w:rsidP="00BB4771">
      <w:pPr>
        <w:pStyle w:val="ListParagraph"/>
        <w:numPr>
          <w:ilvl w:val="0"/>
          <w:numId w:val="8"/>
        </w:numPr>
      </w:pPr>
      <w:r>
        <w:t>WELL V2 is about to leave pilot, V2 now encompasses all previous rating programs</w:t>
      </w:r>
    </w:p>
    <w:p w14:paraId="103FB02C" w14:textId="77777777" w:rsidR="00BB4771" w:rsidRDefault="00BB4771" w:rsidP="00BB4771">
      <w:pPr>
        <w:pStyle w:val="ListParagraph"/>
        <w:numPr>
          <w:ilvl w:val="0"/>
          <w:numId w:val="8"/>
        </w:numPr>
      </w:pPr>
      <w:r>
        <w:t xml:space="preserve">WELL Health and Safety became available in June 2020, this standard focuses on responding to airborne infectious disease by focusing on operational policies, maintenance protocols, emergency plans and stakeholder education and engagement </w:t>
      </w:r>
    </w:p>
    <w:p w14:paraId="76564B44" w14:textId="77777777" w:rsidR="00C44F99" w:rsidRDefault="00C44F99" w:rsidP="00C44F99">
      <w:r>
        <w:t xml:space="preserve">Links: </w:t>
      </w:r>
      <w:hyperlink r:id="rId9" w:history="1">
        <w:r w:rsidRPr="00E05FC5">
          <w:rPr>
            <w:rStyle w:val="Hyperlink"/>
          </w:rPr>
          <w:t>https://account.wellcertified.com/directories/projects</w:t>
        </w:r>
      </w:hyperlink>
      <w:r>
        <w:t xml:space="preserve">; </w:t>
      </w:r>
      <w:hyperlink r:id="rId10" w:history="1">
        <w:r w:rsidRPr="00E05FC5">
          <w:rPr>
            <w:rStyle w:val="Hyperlink"/>
          </w:rPr>
          <w:t>https://www.wellcertified.com/</w:t>
        </w:r>
      </w:hyperlink>
    </w:p>
    <w:p w14:paraId="67927440" w14:textId="77777777" w:rsidR="007C3D77" w:rsidRPr="00C44F99" w:rsidRDefault="007C3D77">
      <w:pPr>
        <w:rPr>
          <w:b/>
          <w:bCs/>
        </w:rPr>
      </w:pPr>
      <w:r w:rsidRPr="00C44F99">
        <w:rPr>
          <w:b/>
          <w:bCs/>
        </w:rPr>
        <w:t>BEPS update – Katie Bergfeld</w:t>
      </w:r>
      <w:r w:rsidR="00BB4771" w:rsidRPr="00C44F99">
        <w:rPr>
          <w:b/>
          <w:bCs/>
        </w:rPr>
        <w:t>, DOEE</w:t>
      </w:r>
    </w:p>
    <w:p w14:paraId="7882A186" w14:textId="77777777" w:rsidR="007C3D77" w:rsidRDefault="007C3D77" w:rsidP="00BB4771">
      <w:pPr>
        <w:pStyle w:val="ListParagraph"/>
        <w:numPr>
          <w:ilvl w:val="0"/>
          <w:numId w:val="10"/>
        </w:numPr>
      </w:pPr>
      <w:r>
        <w:t>Standards should be published very soon, ahead of January 1</w:t>
      </w:r>
      <w:r w:rsidRPr="00BB4771">
        <w:rPr>
          <w:vertAlign w:val="superscript"/>
        </w:rPr>
        <w:t>st</w:t>
      </w:r>
      <w:r>
        <w:t xml:space="preserve"> deadline to publish</w:t>
      </w:r>
    </w:p>
    <w:p w14:paraId="467B8F8F" w14:textId="77777777" w:rsidR="007C3D77" w:rsidRDefault="007C3D77" w:rsidP="00BB4771">
      <w:pPr>
        <w:pStyle w:val="ListParagraph"/>
        <w:numPr>
          <w:ilvl w:val="0"/>
          <w:numId w:val="10"/>
        </w:numPr>
      </w:pPr>
      <w:r>
        <w:t>Supplementary documents to rules under development</w:t>
      </w:r>
    </w:p>
    <w:p w14:paraId="0D3F40C9" w14:textId="7B2D6664" w:rsidR="007C3D77" w:rsidRDefault="007C3D77" w:rsidP="00BB4771">
      <w:pPr>
        <w:pStyle w:val="ListParagraph"/>
        <w:numPr>
          <w:ilvl w:val="0"/>
          <w:numId w:val="10"/>
        </w:numPr>
      </w:pPr>
      <w:r>
        <w:t>Rulemaking planned to be published soon, will be open to public comments</w:t>
      </w:r>
      <w:r w:rsidR="2F40A91D">
        <w:t xml:space="preserve"> for 60 days</w:t>
      </w:r>
    </w:p>
    <w:p w14:paraId="4EA51EB5" w14:textId="77777777" w:rsidR="007C3D77" w:rsidRDefault="007C3D77" w:rsidP="00BB4771">
      <w:pPr>
        <w:pStyle w:val="ListParagraph"/>
        <w:numPr>
          <w:ilvl w:val="0"/>
          <w:numId w:val="10"/>
        </w:numPr>
      </w:pPr>
      <w:r>
        <w:t>Wrapping up data verification.  Applications closed November 20</w:t>
      </w:r>
      <w:r w:rsidRPr="00BB4771">
        <w:rPr>
          <w:vertAlign w:val="superscript"/>
        </w:rPr>
        <w:t>th</w:t>
      </w:r>
      <w:r>
        <w:t xml:space="preserve"> – not accepting any new applications.  Focused on completing verification.</w:t>
      </w:r>
    </w:p>
    <w:p w14:paraId="2F97EEBB" w14:textId="77777777" w:rsidR="007C3D77" w:rsidRPr="00C44F99" w:rsidRDefault="007C3D77">
      <w:pPr>
        <w:rPr>
          <w:b/>
          <w:bCs/>
        </w:rPr>
      </w:pPr>
      <w:r w:rsidRPr="00C44F99">
        <w:rPr>
          <w:b/>
          <w:bCs/>
        </w:rPr>
        <w:lastRenderedPageBreak/>
        <w:t xml:space="preserve">Codes </w:t>
      </w:r>
      <w:r w:rsidR="00C44F99">
        <w:rPr>
          <w:b/>
          <w:bCs/>
        </w:rPr>
        <w:t>U</w:t>
      </w:r>
      <w:r w:rsidRPr="00C44F99">
        <w:rPr>
          <w:b/>
          <w:bCs/>
        </w:rPr>
        <w:t>pdate – Casey</w:t>
      </w:r>
      <w:r w:rsidR="00BB4771" w:rsidRPr="00C44F99">
        <w:rPr>
          <w:b/>
          <w:bCs/>
        </w:rPr>
        <w:t xml:space="preserve"> Studhalter, DOEE</w:t>
      </w:r>
    </w:p>
    <w:p w14:paraId="72AE41C4" w14:textId="77777777" w:rsidR="00BB4771" w:rsidRDefault="00BB4771" w:rsidP="00BB4771">
      <w:pPr>
        <w:pStyle w:val="ListParagraph"/>
        <w:numPr>
          <w:ilvl w:val="0"/>
          <w:numId w:val="9"/>
        </w:numPr>
      </w:pPr>
      <w:r>
        <w:t xml:space="preserve">Integrated version of the codes is published an available on DCRA’s website </w:t>
      </w:r>
    </w:p>
    <w:p w14:paraId="221DE122" w14:textId="77777777" w:rsidR="00BB4771" w:rsidRDefault="00BB4771" w:rsidP="00BB4771">
      <w:pPr>
        <w:pStyle w:val="ListParagraph"/>
        <w:numPr>
          <w:ilvl w:val="0"/>
          <w:numId w:val="9"/>
        </w:numPr>
      </w:pPr>
      <w:r>
        <w:t>2023 Code Development process is underway – exploring changing the public comment/engagement period to potentially shorten the total time it takes to develop the codes</w:t>
      </w:r>
    </w:p>
    <w:p w14:paraId="6F52A29A" w14:textId="77777777" w:rsidR="007C3D77" w:rsidRPr="00C44F99" w:rsidRDefault="00BB4771" w:rsidP="00BB4771">
      <w:pPr>
        <w:pStyle w:val="ListParagraph"/>
        <w:numPr>
          <w:ilvl w:val="0"/>
          <w:numId w:val="9"/>
        </w:numPr>
        <w:rPr>
          <w:rStyle w:val="Hyperlink"/>
          <w:color w:val="auto"/>
          <w:u w:val="none"/>
        </w:rPr>
      </w:pPr>
      <w:r>
        <w:t>Casey is presenting on Appendix Z during the Green Building Professional Seminar Series on December 9</w:t>
      </w:r>
      <w:r w:rsidRPr="00BB4771">
        <w:rPr>
          <w:vertAlign w:val="superscript"/>
        </w:rPr>
        <w:t>th</w:t>
      </w:r>
      <w:r>
        <w:t xml:space="preserve">, link here: </w:t>
      </w:r>
      <w:hyperlink r:id="rId11" w:history="1">
        <w:r w:rsidR="007C3D77">
          <w:rPr>
            <w:rStyle w:val="Hyperlink"/>
          </w:rPr>
          <w:t>https://www.eventbrite.com/e/2020-green-building-professional-seminar-series-tickets-121531625363</w:t>
        </w:r>
      </w:hyperlink>
    </w:p>
    <w:p w14:paraId="5034D233" w14:textId="77777777" w:rsidR="00C44F99" w:rsidRPr="00C44F99" w:rsidRDefault="00C44F99" w:rsidP="00C44F99">
      <w:pPr>
        <w:spacing w:line="240" w:lineRule="auto"/>
        <w:rPr>
          <w:b/>
          <w:bCs/>
        </w:rPr>
      </w:pPr>
      <w:r w:rsidRPr="00C44F99">
        <w:rPr>
          <w:b/>
          <w:bCs/>
        </w:rPr>
        <w:t>Roundtable Updates:</w:t>
      </w:r>
    </w:p>
    <w:p w14:paraId="1570C9DE" w14:textId="77777777" w:rsidR="007C3D77" w:rsidRDefault="007C3D77" w:rsidP="00C44F99">
      <w:pPr>
        <w:spacing w:line="240" w:lineRule="auto"/>
      </w:pPr>
      <w:r w:rsidRPr="00C44F99">
        <w:rPr>
          <w:b/>
          <w:bCs/>
        </w:rPr>
        <w:t>Cliff</w:t>
      </w:r>
      <w:r w:rsidR="00C44F99" w:rsidRPr="00C44F99">
        <w:rPr>
          <w:b/>
          <w:bCs/>
        </w:rPr>
        <w:t xml:space="preserve"> </w:t>
      </w:r>
      <w:proofErr w:type="spellStart"/>
      <w:r w:rsidR="00C44F99" w:rsidRPr="00C44F99">
        <w:rPr>
          <w:b/>
          <w:bCs/>
        </w:rPr>
        <w:t>Majersik</w:t>
      </w:r>
      <w:proofErr w:type="spellEnd"/>
      <w:r w:rsidR="00C44F99" w:rsidRPr="00C44F99">
        <w:rPr>
          <w:b/>
          <w:bCs/>
        </w:rPr>
        <w:t>, IMT</w:t>
      </w:r>
      <w:r w:rsidR="00C44F99">
        <w:t xml:space="preserve"> - </w:t>
      </w:r>
      <w:r>
        <w:t xml:space="preserve">Hub launched with events coming up </w:t>
      </w:r>
      <w:hyperlink r:id="rId12" w:history="1">
        <w:r w:rsidRPr="00D14A09">
          <w:rPr>
            <w:rStyle w:val="Hyperlink"/>
          </w:rPr>
          <w:t>https://buildinginnovationhub.org/events/</w:t>
        </w:r>
      </w:hyperlink>
      <w:r>
        <w:t xml:space="preserve">.  Hiring for a second FT staff person.  IMT working with St Louis and Kansas City to create new Hubs and a network of Hubs across the country.  </w:t>
      </w:r>
    </w:p>
    <w:p w14:paraId="22FD0D3C" w14:textId="77777777" w:rsidR="00C44F99" w:rsidRDefault="007C3D77" w:rsidP="00C44F99">
      <w:pPr>
        <w:spacing w:after="0" w:line="240" w:lineRule="auto"/>
      </w:pPr>
      <w:r w:rsidRPr="00C44F99">
        <w:rPr>
          <w:b/>
          <w:bCs/>
        </w:rPr>
        <w:t>Fernando</w:t>
      </w:r>
      <w:r w:rsidR="00C44F99" w:rsidRPr="00C44F99">
        <w:rPr>
          <w:b/>
          <w:bCs/>
        </w:rPr>
        <w:t xml:space="preserve"> Arias, Clark Construction</w:t>
      </w:r>
      <w:r>
        <w:t xml:space="preserve"> </w:t>
      </w:r>
      <w:r w:rsidR="004921D9">
        <w:t>–</w:t>
      </w:r>
      <w:r>
        <w:t xml:space="preserve"> </w:t>
      </w:r>
      <w:r w:rsidR="004921D9">
        <w:t xml:space="preserve">Launched USGBC Green Builder badge, offered as component of continuing education via USGBC.  </w:t>
      </w:r>
    </w:p>
    <w:p w14:paraId="60F18A7D" w14:textId="77777777" w:rsidR="007C3D77" w:rsidRDefault="00134CCD" w:rsidP="00C44F99">
      <w:pPr>
        <w:spacing w:after="0" w:line="240" w:lineRule="auto"/>
        <w:rPr>
          <w:rStyle w:val="eop"/>
          <w:rFonts w:ascii="Calibri" w:hAnsi="Calibri" w:cs="Calibri"/>
          <w:color w:val="000000"/>
          <w:shd w:val="clear" w:color="auto" w:fill="FFFFFF"/>
        </w:rPr>
      </w:pPr>
      <w:hyperlink r:id="rId13" w:history="1">
        <w:r w:rsidR="00C44F99" w:rsidRPr="00E05FC5">
          <w:rPr>
            <w:rStyle w:val="Hyperlink"/>
            <w:rFonts w:ascii="Calibri" w:hAnsi="Calibri" w:cs="Calibri"/>
            <w:shd w:val="clear" w:color="auto" w:fill="FFFFFF"/>
          </w:rPr>
          <w:t>https://www.usgbc.org/help/how-can-i-earn-green-builder-badge-education-usgbc</w:t>
        </w:r>
      </w:hyperlink>
      <w:r w:rsidR="00C44F99">
        <w:rPr>
          <w:rStyle w:val="eop"/>
          <w:rFonts w:ascii="Calibri" w:hAnsi="Calibri" w:cs="Calibri"/>
          <w:color w:val="000000"/>
          <w:shd w:val="clear" w:color="auto" w:fill="FFFFFF"/>
        </w:rPr>
        <w:t> </w:t>
      </w:r>
    </w:p>
    <w:p w14:paraId="2D5AD97E" w14:textId="77777777" w:rsidR="00C44F99" w:rsidRDefault="00C44F99" w:rsidP="00C44F99">
      <w:pPr>
        <w:spacing w:after="0" w:line="240" w:lineRule="auto"/>
      </w:pPr>
    </w:p>
    <w:p w14:paraId="29E1B1DA" w14:textId="79185B3F" w:rsidR="004921D9" w:rsidRDefault="004921D9" w:rsidP="4A6BE9A8">
      <w:pPr>
        <w:spacing w:line="240" w:lineRule="auto"/>
        <w:rPr>
          <w:rFonts w:ascii="Calibri" w:eastAsia="Calibri" w:hAnsi="Calibri" w:cs="Calibri"/>
        </w:rPr>
      </w:pPr>
      <w:r w:rsidRPr="4A6BE9A8">
        <w:rPr>
          <w:b/>
          <w:bCs/>
        </w:rPr>
        <w:t>Seth</w:t>
      </w:r>
      <w:r w:rsidR="00C44F99" w:rsidRPr="4A6BE9A8">
        <w:rPr>
          <w:b/>
          <w:bCs/>
        </w:rPr>
        <w:t xml:space="preserve"> </w:t>
      </w:r>
      <w:proofErr w:type="spellStart"/>
      <w:r w:rsidR="00C44F99" w:rsidRPr="4A6BE9A8">
        <w:rPr>
          <w:b/>
          <w:bCs/>
        </w:rPr>
        <w:t>Coan</w:t>
      </w:r>
      <w:proofErr w:type="spellEnd"/>
      <w:r w:rsidR="00C44F99" w:rsidRPr="4A6BE9A8">
        <w:rPr>
          <w:b/>
          <w:bCs/>
        </w:rPr>
        <w:t>, RMI</w:t>
      </w:r>
      <w:r>
        <w:t xml:space="preserve"> – </w:t>
      </w:r>
      <w:r w:rsidR="00C44F99">
        <w:t xml:space="preserve">RMI </w:t>
      </w:r>
      <w:r>
        <w:t xml:space="preserve">report recently published titled Regions </w:t>
      </w:r>
      <w:proofErr w:type="gramStart"/>
      <w:r>
        <w:t>Take Action</w:t>
      </w:r>
      <w:proofErr w:type="gramEnd"/>
      <w:r>
        <w:t>, focused on climate action taken by states and regions.  Found an issue with DC SEU incentives that don’t support increased insulation and other passive measures outside of their custom programs.  Could consider inviting SEU to join future GBAC meetings.</w:t>
      </w:r>
      <w:bookmarkStart w:id="0" w:name="_GoBack"/>
      <w:r w:rsidR="2B17DA5D">
        <w:t xml:space="preserve">  </w:t>
      </w:r>
      <w:r>
        <w:br/>
      </w:r>
      <w:hyperlink r:id="rId14" w:history="1">
        <w:r w:rsidR="044418E6" w:rsidRPr="4A6BE9A8">
          <w:rPr>
            <w:rStyle w:val="Hyperlink"/>
            <w:rFonts w:ascii="Calibri" w:eastAsia="Calibri" w:hAnsi="Calibri" w:cs="Calibri"/>
          </w:rPr>
          <w:t>https://rmi.org/insight/regions-take-action/</w:t>
        </w:r>
      </w:hyperlink>
      <w:bookmarkEnd w:id="0"/>
    </w:p>
    <w:p w14:paraId="3FCBB628" w14:textId="77777777" w:rsidR="004921D9" w:rsidRDefault="004921D9" w:rsidP="00C44F99">
      <w:pPr>
        <w:spacing w:line="240" w:lineRule="auto"/>
      </w:pPr>
      <w:r w:rsidRPr="00C44F99">
        <w:rPr>
          <w:b/>
          <w:bCs/>
        </w:rPr>
        <w:t xml:space="preserve">Jay </w:t>
      </w:r>
      <w:r w:rsidR="00C44F99" w:rsidRPr="00C44F99">
        <w:rPr>
          <w:b/>
          <w:bCs/>
        </w:rPr>
        <w:t>Wilson, DOEE</w:t>
      </w:r>
      <w:r w:rsidR="00C44F99">
        <w:t xml:space="preserve"> </w:t>
      </w:r>
      <w:r>
        <w:t xml:space="preserve">– DOEE recently published guide for building owners considering solar </w:t>
      </w:r>
      <w:hyperlink r:id="rId15" w:history="1">
        <w:r w:rsidRPr="00D14A09">
          <w:rPr>
            <w:rStyle w:val="Hyperlink"/>
          </w:rPr>
          <w:t>https://doee.dc.gov/sites/default/files/dc/sites/ddoe/service_content/attachments/2020%20FINAL_DC-SolarFinancing%281%29.pdf</w:t>
        </w:r>
      </w:hyperlink>
    </w:p>
    <w:p w14:paraId="0517FC85" w14:textId="77777777" w:rsidR="00C44F99" w:rsidRDefault="004921D9" w:rsidP="00C44F99">
      <w:pPr>
        <w:spacing w:after="0" w:line="240" w:lineRule="auto"/>
        <w:rPr>
          <w:vertAlign w:val="superscript"/>
        </w:rPr>
      </w:pPr>
      <w:r w:rsidRPr="00C44F99">
        <w:rPr>
          <w:b/>
          <w:bCs/>
        </w:rPr>
        <w:t xml:space="preserve">Michael </w:t>
      </w:r>
      <w:r w:rsidR="00C44F99" w:rsidRPr="00C44F99">
        <w:rPr>
          <w:b/>
          <w:bCs/>
        </w:rPr>
        <w:t>Feldman-Wiencek, DOEE</w:t>
      </w:r>
      <w:r>
        <w:t>– HAND and NHT continuing affordable housing workshop series on Dec 3</w:t>
      </w:r>
      <w:r w:rsidRPr="004921D9">
        <w:rPr>
          <w:vertAlign w:val="superscript"/>
        </w:rPr>
        <w:t>rd</w:t>
      </w:r>
      <w:r w:rsidR="00C44F99">
        <w:rPr>
          <w:vertAlign w:val="superscript"/>
        </w:rPr>
        <w:t xml:space="preserve"> </w:t>
      </w:r>
    </w:p>
    <w:p w14:paraId="043F2195" w14:textId="77777777" w:rsidR="00C44F99" w:rsidRDefault="00134CCD" w:rsidP="00C44F99">
      <w:pPr>
        <w:spacing w:after="0" w:line="240" w:lineRule="auto"/>
        <w:rPr>
          <w:rStyle w:val="eop"/>
          <w:rFonts w:ascii="Calibri" w:hAnsi="Calibri" w:cs="Calibri"/>
          <w:color w:val="000000"/>
          <w:shd w:val="clear" w:color="auto" w:fill="FFFFFF"/>
        </w:rPr>
      </w:pPr>
      <w:hyperlink r:id="rId16" w:anchor="december" w:history="1">
        <w:r w:rsidR="00C44F99" w:rsidRPr="00E05FC5">
          <w:rPr>
            <w:rStyle w:val="Hyperlink"/>
            <w:rFonts w:ascii="Calibri" w:hAnsi="Calibri" w:cs="Calibri"/>
            <w:shd w:val="clear" w:color="auto" w:fill="FFFFFF"/>
          </w:rPr>
          <w:t>https://www.handhousing.org/training-engagement/2020-2021-training-capacity-building-series/#december</w:t>
        </w:r>
      </w:hyperlink>
      <w:r w:rsidR="00C44F99">
        <w:rPr>
          <w:rStyle w:val="eop"/>
          <w:rFonts w:ascii="Calibri" w:hAnsi="Calibri" w:cs="Calibri"/>
          <w:color w:val="000000"/>
          <w:shd w:val="clear" w:color="auto" w:fill="FFFFFF"/>
        </w:rPr>
        <w:t> </w:t>
      </w:r>
    </w:p>
    <w:p w14:paraId="04F80B81" w14:textId="77777777" w:rsidR="00C44F99" w:rsidRPr="00C44F99" w:rsidRDefault="00C44F99" w:rsidP="00C44F99">
      <w:pPr>
        <w:spacing w:after="0" w:line="240" w:lineRule="auto"/>
        <w:rPr>
          <w:vertAlign w:val="superscript"/>
        </w:rPr>
      </w:pPr>
    </w:p>
    <w:p w14:paraId="3ADDF415" w14:textId="77777777" w:rsidR="004921D9" w:rsidRDefault="00C44F99" w:rsidP="00C44F99">
      <w:pPr>
        <w:spacing w:line="240" w:lineRule="auto"/>
      </w:pPr>
      <w:proofErr w:type="spellStart"/>
      <w:r w:rsidRPr="00C44F99">
        <w:rPr>
          <w:b/>
          <w:bCs/>
        </w:rPr>
        <w:t>Anica</w:t>
      </w:r>
      <w:proofErr w:type="spellEnd"/>
      <w:r w:rsidRPr="00C44F99">
        <w:rPr>
          <w:b/>
          <w:bCs/>
        </w:rPr>
        <w:t xml:space="preserve"> </w:t>
      </w:r>
      <w:proofErr w:type="spellStart"/>
      <w:r w:rsidRPr="00C44F99">
        <w:rPr>
          <w:b/>
          <w:bCs/>
        </w:rPr>
        <w:t>Landrenau</w:t>
      </w:r>
      <w:proofErr w:type="spellEnd"/>
      <w:r w:rsidRPr="00C44F99">
        <w:rPr>
          <w:b/>
          <w:bCs/>
        </w:rPr>
        <w:t>, HOK</w:t>
      </w:r>
      <w:r>
        <w:t xml:space="preserve"> </w:t>
      </w:r>
      <w:r w:rsidR="004921D9">
        <w:t xml:space="preserve">– Appointed to IECC-Commercial 2024 development committee.  </w:t>
      </w:r>
    </w:p>
    <w:p w14:paraId="6FE9A783" w14:textId="77777777" w:rsidR="00C44F99" w:rsidRDefault="00C44F99" w:rsidP="00C44F99">
      <w:r w:rsidRPr="00C44F99">
        <w:rPr>
          <w:b/>
          <w:bCs/>
        </w:rPr>
        <w:t>MaryLynn Wilhere, DOEE</w:t>
      </w:r>
      <w:r>
        <w:t xml:space="preserve"> - The application period for the 2021 Clean Energy DC Award will open January 2, 2021.  Questions? Contact marylynn.wilhere@dc.gov</w:t>
      </w:r>
    </w:p>
    <w:p w14:paraId="71CC3D47" w14:textId="77777777" w:rsidR="00C44F99" w:rsidRDefault="00C44F99" w:rsidP="00C44F99">
      <w:r w:rsidRPr="00FC0C13">
        <w:rPr>
          <w:b/>
          <w:bCs/>
        </w:rPr>
        <w:t>Mark Bryan, USGBC</w:t>
      </w:r>
      <w:r>
        <w:t xml:space="preserve"> </w:t>
      </w:r>
      <w:r w:rsidR="00FC0C13">
        <w:t>–</w:t>
      </w:r>
      <w:r>
        <w:t xml:space="preserve"> </w:t>
      </w:r>
      <w:r w:rsidR="00FC0C13">
        <w:t xml:space="preserve">Invitation to join </w:t>
      </w:r>
      <w:r>
        <w:t xml:space="preserve">NCR, IMT and the New Building Innovation Hub tomorrow December 3rd @ 1PM for one of our final events of the year, When Health and Wellness Meets Energy Performance. Please join speakers like Tommy Wells, Lindsey Falasca, Lee </w:t>
      </w:r>
      <w:proofErr w:type="spellStart"/>
      <w:r>
        <w:t>Dunfee</w:t>
      </w:r>
      <w:proofErr w:type="spellEnd"/>
      <w:r>
        <w:t xml:space="preserve"> and Linda Toth for a deeper discussion of the nexus of health and energy. You may register using this code:  HEALTHY2020 https://www.eventbrite.com/e/when-health-and-wellness-meets-energy-performance-tickets-126333209029  </w:t>
      </w:r>
    </w:p>
    <w:p w14:paraId="4357D430" w14:textId="77777777" w:rsidR="004921D9" w:rsidRDefault="004921D9" w:rsidP="007C3D77"/>
    <w:p w14:paraId="1B7417F9" w14:textId="77777777" w:rsidR="004921D9" w:rsidRDefault="004921D9" w:rsidP="007C3D77">
      <w:r>
        <w:lastRenderedPageBreak/>
        <w:t>Meeting adjourned at 4:59pm</w:t>
      </w:r>
    </w:p>
    <w:p w14:paraId="4FC85976" w14:textId="77777777" w:rsidR="004921D9" w:rsidRPr="00FC0C13" w:rsidRDefault="00C44F99" w:rsidP="007C3D77">
      <w:pPr>
        <w:rPr>
          <w:b/>
          <w:bCs/>
        </w:rPr>
      </w:pPr>
      <w:r w:rsidRPr="00FC0C13">
        <w:rPr>
          <w:b/>
          <w:bCs/>
        </w:rPr>
        <w:t>The next meeting of the GBAC will be held virtually via WebEx on February 3, 2021</w:t>
      </w:r>
    </w:p>
    <w:sectPr w:rsidR="004921D9" w:rsidRPr="00FC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135"/>
    <w:multiLevelType w:val="hybridMultilevel"/>
    <w:tmpl w:val="9A7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0DB9"/>
    <w:multiLevelType w:val="hybridMultilevel"/>
    <w:tmpl w:val="3EA47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D0026"/>
    <w:multiLevelType w:val="hybridMultilevel"/>
    <w:tmpl w:val="9AA4F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F50B67"/>
    <w:multiLevelType w:val="hybridMultilevel"/>
    <w:tmpl w:val="4C000F94"/>
    <w:lvl w:ilvl="0" w:tplc="8A0EC9D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810B85"/>
    <w:multiLevelType w:val="hybridMultilevel"/>
    <w:tmpl w:val="3B28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337DC"/>
    <w:multiLevelType w:val="hybridMultilevel"/>
    <w:tmpl w:val="A1D0230C"/>
    <w:lvl w:ilvl="0" w:tplc="8A0EC9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3156E"/>
    <w:multiLevelType w:val="hybridMultilevel"/>
    <w:tmpl w:val="B25E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B7D1F"/>
    <w:multiLevelType w:val="hybridMultilevel"/>
    <w:tmpl w:val="B024D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45CC2"/>
    <w:multiLevelType w:val="hybridMultilevel"/>
    <w:tmpl w:val="810C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429CE"/>
    <w:multiLevelType w:val="hybridMultilevel"/>
    <w:tmpl w:val="971C9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
  </w:num>
  <w:num w:numId="6">
    <w:abstractNumId w:val="7"/>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6F"/>
    <w:rsid w:val="000F6199"/>
    <w:rsid w:val="00134CCD"/>
    <w:rsid w:val="004921D9"/>
    <w:rsid w:val="004B6F9B"/>
    <w:rsid w:val="005072D3"/>
    <w:rsid w:val="006C116F"/>
    <w:rsid w:val="00706E3D"/>
    <w:rsid w:val="007520B8"/>
    <w:rsid w:val="007C3D77"/>
    <w:rsid w:val="00826C76"/>
    <w:rsid w:val="00855C9A"/>
    <w:rsid w:val="009F2B18"/>
    <w:rsid w:val="00A351BB"/>
    <w:rsid w:val="00B635E1"/>
    <w:rsid w:val="00BB4771"/>
    <w:rsid w:val="00BB4E59"/>
    <w:rsid w:val="00C44F99"/>
    <w:rsid w:val="00C740A6"/>
    <w:rsid w:val="00E420B2"/>
    <w:rsid w:val="00FC0C13"/>
    <w:rsid w:val="044418E6"/>
    <w:rsid w:val="0E199E50"/>
    <w:rsid w:val="2047AD74"/>
    <w:rsid w:val="220F6867"/>
    <w:rsid w:val="2B17DA5D"/>
    <w:rsid w:val="2B7A2163"/>
    <w:rsid w:val="2EC104BE"/>
    <w:rsid w:val="2F40A91D"/>
    <w:rsid w:val="312ACF41"/>
    <w:rsid w:val="337CAF45"/>
    <w:rsid w:val="4A6BE9A8"/>
    <w:rsid w:val="4DAA4DEF"/>
    <w:rsid w:val="5EF4ED3C"/>
    <w:rsid w:val="5F984A75"/>
    <w:rsid w:val="6A13D304"/>
    <w:rsid w:val="6FDAAACA"/>
    <w:rsid w:val="7F94D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9E28"/>
  <w15:docId w15:val="{9BAC9EA6-1271-4879-8788-C250FD7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E1"/>
    <w:pPr>
      <w:ind w:left="720"/>
      <w:contextualSpacing/>
    </w:pPr>
  </w:style>
  <w:style w:type="character" w:styleId="Hyperlink">
    <w:name w:val="Hyperlink"/>
    <w:basedOn w:val="DefaultParagraphFont"/>
    <w:uiPriority w:val="99"/>
    <w:unhideWhenUsed/>
    <w:rsid w:val="007C3D77"/>
    <w:rPr>
      <w:color w:val="0000FF"/>
      <w:u w:val="single"/>
    </w:rPr>
  </w:style>
  <w:style w:type="character" w:customStyle="1" w:styleId="normaltextrun">
    <w:name w:val="normaltextrun"/>
    <w:basedOn w:val="DefaultParagraphFont"/>
    <w:rsid w:val="00C44F99"/>
  </w:style>
  <w:style w:type="character" w:customStyle="1" w:styleId="eop">
    <w:name w:val="eop"/>
    <w:basedOn w:val="DefaultParagraphFont"/>
    <w:rsid w:val="00C44F99"/>
  </w:style>
  <w:style w:type="character" w:styleId="UnresolvedMention">
    <w:name w:val="Unresolved Mention"/>
    <w:basedOn w:val="DefaultParagraphFont"/>
    <w:uiPriority w:val="99"/>
    <w:semiHidden/>
    <w:unhideWhenUsed/>
    <w:rsid w:val="00C44F99"/>
    <w:rPr>
      <w:color w:val="605E5C"/>
      <w:shd w:val="clear" w:color="auto" w:fill="E1DFDD"/>
    </w:rPr>
  </w:style>
  <w:style w:type="paragraph" w:customStyle="1" w:styleId="paragraph">
    <w:name w:val="paragraph"/>
    <w:basedOn w:val="Normal"/>
    <w:rsid w:val="00FC0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C0C13"/>
  </w:style>
  <w:style w:type="paragraph" w:styleId="BalloonText">
    <w:name w:val="Balloon Text"/>
    <w:basedOn w:val="Normal"/>
    <w:link w:val="BalloonTextChar"/>
    <w:uiPriority w:val="99"/>
    <w:semiHidden/>
    <w:unhideWhenUsed/>
    <w:rsid w:val="009F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48153">
      <w:bodyDiv w:val="1"/>
      <w:marLeft w:val="0"/>
      <w:marRight w:val="0"/>
      <w:marTop w:val="0"/>
      <w:marBottom w:val="0"/>
      <w:divBdr>
        <w:top w:val="none" w:sz="0" w:space="0" w:color="auto"/>
        <w:left w:val="none" w:sz="0" w:space="0" w:color="auto"/>
        <w:bottom w:val="none" w:sz="0" w:space="0" w:color="auto"/>
        <w:right w:val="none" w:sz="0" w:space="0" w:color="auto"/>
      </w:divBdr>
      <w:divsChild>
        <w:div w:id="1691105598">
          <w:marLeft w:val="0"/>
          <w:marRight w:val="0"/>
          <w:marTop w:val="0"/>
          <w:marBottom w:val="0"/>
          <w:divBdr>
            <w:top w:val="none" w:sz="0" w:space="0" w:color="auto"/>
            <w:left w:val="none" w:sz="0" w:space="0" w:color="auto"/>
            <w:bottom w:val="none" w:sz="0" w:space="0" w:color="auto"/>
            <w:right w:val="none" w:sz="0" w:space="0" w:color="auto"/>
          </w:divBdr>
        </w:div>
        <w:div w:id="275987718">
          <w:marLeft w:val="0"/>
          <w:marRight w:val="0"/>
          <w:marTop w:val="0"/>
          <w:marBottom w:val="0"/>
          <w:divBdr>
            <w:top w:val="none" w:sz="0" w:space="0" w:color="auto"/>
            <w:left w:val="none" w:sz="0" w:space="0" w:color="auto"/>
            <w:bottom w:val="none" w:sz="0" w:space="0" w:color="auto"/>
            <w:right w:val="none" w:sz="0" w:space="0" w:color="auto"/>
          </w:divBdr>
        </w:div>
        <w:div w:id="801265879">
          <w:marLeft w:val="0"/>
          <w:marRight w:val="0"/>
          <w:marTop w:val="0"/>
          <w:marBottom w:val="0"/>
          <w:divBdr>
            <w:top w:val="none" w:sz="0" w:space="0" w:color="auto"/>
            <w:left w:val="none" w:sz="0" w:space="0" w:color="auto"/>
            <w:bottom w:val="none" w:sz="0" w:space="0" w:color="auto"/>
            <w:right w:val="none" w:sz="0" w:space="0" w:color="auto"/>
          </w:divBdr>
        </w:div>
        <w:div w:id="1090807933">
          <w:marLeft w:val="0"/>
          <w:marRight w:val="0"/>
          <w:marTop w:val="0"/>
          <w:marBottom w:val="0"/>
          <w:divBdr>
            <w:top w:val="none" w:sz="0" w:space="0" w:color="auto"/>
            <w:left w:val="none" w:sz="0" w:space="0" w:color="auto"/>
            <w:bottom w:val="none" w:sz="0" w:space="0" w:color="auto"/>
            <w:right w:val="none" w:sz="0" w:space="0" w:color="auto"/>
          </w:divBdr>
        </w:div>
        <w:div w:id="840895181">
          <w:marLeft w:val="0"/>
          <w:marRight w:val="0"/>
          <w:marTop w:val="0"/>
          <w:marBottom w:val="0"/>
          <w:divBdr>
            <w:top w:val="none" w:sz="0" w:space="0" w:color="auto"/>
            <w:left w:val="none" w:sz="0" w:space="0" w:color="auto"/>
            <w:bottom w:val="none" w:sz="0" w:space="0" w:color="auto"/>
            <w:right w:val="none" w:sz="0" w:space="0" w:color="auto"/>
          </w:divBdr>
        </w:div>
        <w:div w:id="1467627365">
          <w:marLeft w:val="0"/>
          <w:marRight w:val="0"/>
          <w:marTop w:val="0"/>
          <w:marBottom w:val="0"/>
          <w:divBdr>
            <w:top w:val="none" w:sz="0" w:space="0" w:color="auto"/>
            <w:left w:val="none" w:sz="0" w:space="0" w:color="auto"/>
            <w:bottom w:val="none" w:sz="0" w:space="0" w:color="auto"/>
            <w:right w:val="none" w:sz="0" w:space="0" w:color="auto"/>
          </w:divBdr>
        </w:div>
        <w:div w:id="1050611074">
          <w:marLeft w:val="0"/>
          <w:marRight w:val="0"/>
          <w:marTop w:val="0"/>
          <w:marBottom w:val="0"/>
          <w:divBdr>
            <w:top w:val="none" w:sz="0" w:space="0" w:color="auto"/>
            <w:left w:val="none" w:sz="0" w:space="0" w:color="auto"/>
            <w:bottom w:val="none" w:sz="0" w:space="0" w:color="auto"/>
            <w:right w:val="none" w:sz="0" w:space="0" w:color="auto"/>
          </w:divBdr>
        </w:div>
        <w:div w:id="93031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ldr.php?RCID=42be6265c85b4d609405e87714925699" TargetMode="External"/><Relationship Id="rId13" Type="http://schemas.openxmlformats.org/officeDocument/2006/relationships/hyperlink" Target="https://www.usgbc.org/help/how-can-i-earn-green-builder-badge-education-usgb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uildinginnovationhub.org/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andhousing.org/training-engagement/2020-2021-training-capacity-building-se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2020-green-building-professional-seminar-series-tickets-121531625363" TargetMode="External"/><Relationship Id="rId5" Type="http://schemas.openxmlformats.org/officeDocument/2006/relationships/styles" Target="styles.xml"/><Relationship Id="rId15" Type="http://schemas.openxmlformats.org/officeDocument/2006/relationships/hyperlink" Target="https://doee.dc.gov/sites/default/files/dc/sites/ddoe/service_content/attachments/2020%20FINAL_DC-SolarFinancing%281%29.pdf" TargetMode="External"/><Relationship Id="rId10" Type="http://schemas.openxmlformats.org/officeDocument/2006/relationships/hyperlink" Target="https://www.wellcertified.com/" TargetMode="External"/><Relationship Id="rId4" Type="http://schemas.openxmlformats.org/officeDocument/2006/relationships/numbering" Target="numbering.xml"/><Relationship Id="rId9" Type="http://schemas.openxmlformats.org/officeDocument/2006/relationships/hyperlink" Target="https://account.wellcertified.com/directories/projects" TargetMode="External"/><Relationship Id="rId14" Type="http://schemas.openxmlformats.org/officeDocument/2006/relationships/hyperlink" Target="https://rmi.org/insight/regions-tak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08068DBE9F54C8C32DFC3C17E9D8D" ma:contentTypeVersion="11" ma:contentTypeDescription="Create a new document." ma:contentTypeScope="" ma:versionID="b195a5375b4ae3a22456ee9186f9c9b1">
  <xsd:schema xmlns:xsd="http://www.w3.org/2001/XMLSchema" xmlns:xs="http://www.w3.org/2001/XMLSchema" xmlns:p="http://schemas.microsoft.com/office/2006/metadata/properties" xmlns:ns3="c6bb49d5-1a96-4807-937a-6b87563f4a38" xmlns:ns4="272f6c44-439d-49b7-aac2-c4e8d7b3bd90" targetNamespace="http://schemas.microsoft.com/office/2006/metadata/properties" ma:root="true" ma:fieldsID="d983438d82bc36456d679e1fecaa7714" ns3:_="" ns4:_="">
    <xsd:import namespace="c6bb49d5-1a96-4807-937a-6b87563f4a38"/>
    <xsd:import namespace="272f6c44-439d-49b7-aac2-c4e8d7b3b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b49d5-1a96-4807-937a-6b87563f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f6c44-439d-49b7-aac2-c4e8d7b3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C370E-8922-4D77-A72E-5F7A5D4ABC65}">
  <ds:schemaRefs>
    <ds:schemaRef ds:uri="http://schemas.openxmlformats.org/package/2006/metadata/core-properties"/>
    <ds:schemaRef ds:uri="272f6c44-439d-49b7-aac2-c4e8d7b3bd90"/>
    <ds:schemaRef ds:uri="http://purl.org/dc/elements/1.1/"/>
    <ds:schemaRef ds:uri="http://purl.org/dc/dcmitype/"/>
    <ds:schemaRef ds:uri="http://purl.org/dc/terms/"/>
    <ds:schemaRef ds:uri="c6bb49d5-1a96-4807-937a-6b87563f4a38"/>
    <ds:schemaRef ds:uri="http://schemas.microsoft.com/office/infopath/2007/PartnerControls"/>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9928A41-33B8-4031-BD64-CFEB9B68C124}">
  <ds:schemaRefs>
    <ds:schemaRef ds:uri="http://schemas.microsoft.com/sharepoint/v3/contenttype/forms"/>
  </ds:schemaRefs>
</ds:datastoreItem>
</file>

<file path=customXml/itemProps3.xml><?xml version="1.0" encoding="utf-8"?>
<ds:datastoreItem xmlns:ds="http://schemas.openxmlformats.org/officeDocument/2006/customXml" ds:itemID="{178AFB73-5CD3-4B2D-9A06-68471F15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b49d5-1a96-4807-937a-6b87563f4a38"/>
    <ds:schemaRef ds:uri="272f6c44-439d-49b7-aac2-c4e8d7b3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6806</Characters>
  <Application>Microsoft Office Word</Application>
  <DocSecurity>0</DocSecurity>
  <Lines>56</Lines>
  <Paragraphs>15</Paragraphs>
  <ScaleCrop>false</ScaleCrop>
  <Company>DC Government</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Studhalter, Casey (DOEE)</dc:creator>
  <cp:lastModifiedBy>Berube, Kathleen (DOEE)</cp:lastModifiedBy>
  <cp:revision>2</cp:revision>
  <dcterms:created xsi:type="dcterms:W3CDTF">2020-12-08T20:23:00Z</dcterms:created>
  <dcterms:modified xsi:type="dcterms:W3CDTF">2020-12-08T20:23:00Z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0x01010023908068DBE9F54C8C32DFC3C17E9D8D</vt:lpwstr>
  </property>
</Properties>
</file>