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E" w:rsidRDefault="00A0697E" w:rsidP="0013246A">
      <w:pPr>
        <w:jc w:val="center"/>
        <w:rPr>
          <w:b/>
        </w:rPr>
      </w:pPr>
      <w:r w:rsidRPr="00662562">
        <w:rPr>
          <w:b/>
        </w:rPr>
        <w:t>DISTRICT DEPARTMENT OF THE ENVIRONMENT</w:t>
      </w:r>
    </w:p>
    <w:p w:rsidR="00A0697E" w:rsidRDefault="00A0697E" w:rsidP="0013246A">
      <w:pPr>
        <w:jc w:val="center"/>
        <w:rPr>
          <w:b/>
        </w:rPr>
      </w:pPr>
      <w:r w:rsidRPr="00662562">
        <w:rPr>
          <w:b/>
        </w:rPr>
        <w:t xml:space="preserve">NOTICE OF </w:t>
      </w:r>
      <w:r>
        <w:rPr>
          <w:b/>
        </w:rPr>
        <w:t>LODGING OF CONSENT DECREE IN</w:t>
      </w:r>
    </w:p>
    <w:p w:rsidR="00A0697E" w:rsidRPr="00AB5A17" w:rsidRDefault="00A0697E" w:rsidP="00120749">
      <w:pPr>
        <w:jc w:val="center"/>
        <w:rPr>
          <w:b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AB5A17">
            <w:rPr>
              <w:b/>
              <w:u w:val="single"/>
            </w:rPr>
            <w:t>DISTRICT OF COLUMBIA</w:t>
          </w:r>
        </w:smartTag>
      </w:smartTag>
      <w:r w:rsidRPr="00AB5A17">
        <w:rPr>
          <w:b/>
          <w:u w:val="single"/>
        </w:rPr>
        <w:t xml:space="preserve"> v. POTOMAC CREEK ASSOCIATES L.L.C.</w:t>
      </w:r>
      <w:proofErr w:type="gramEnd"/>
    </w:p>
    <w:p w:rsidR="00A0697E" w:rsidRPr="00AB5A17" w:rsidRDefault="00A0697E" w:rsidP="0013246A">
      <w:pPr>
        <w:jc w:val="center"/>
        <w:rPr>
          <w:b/>
        </w:rPr>
      </w:pPr>
    </w:p>
    <w:p w:rsidR="00A0697E" w:rsidRDefault="00A0697E" w:rsidP="00643413">
      <w:pPr>
        <w:ind w:right="18"/>
      </w:pPr>
      <w:r w:rsidRPr="00AB5A17">
        <w:t xml:space="preserve">Notice is hereby given that a Consent Decree in the case of </w:t>
      </w:r>
      <w:r w:rsidRPr="00AB5A17">
        <w:rPr>
          <w:u w:val="single"/>
        </w:rPr>
        <w:t>District of Columbia v. Potomac Creek Associates L.L.C</w:t>
      </w:r>
      <w:r w:rsidRPr="00AB5A17">
        <w:t xml:space="preserve"> will be lodged with the Superior Court for the </w:t>
      </w:r>
      <w:smartTag w:uri="urn:schemas-microsoft-com:office:smarttags" w:element="place">
        <w:smartTag w:uri="urn:schemas-microsoft-com:office:smarttags" w:element="State">
          <w:r w:rsidRPr="00AB5A17">
            <w:t>District of Columbia</w:t>
          </w:r>
        </w:smartTag>
      </w:smartTag>
      <w:r w:rsidRPr="00AB5A17">
        <w:t xml:space="preserve"> and is available for public</w:t>
      </w:r>
      <w:r>
        <w:t xml:space="preserve"> comment.  A copy of the Consent Decree may be viewed online </w:t>
      </w:r>
      <w:r w:rsidRPr="008515EA">
        <w:t xml:space="preserve">at </w:t>
      </w:r>
      <w:r w:rsidRPr="00520D99">
        <w:t>www.ddoe.dc.gov</w:t>
      </w:r>
      <w:r w:rsidRPr="008515EA">
        <w:t>.</w:t>
      </w:r>
      <w:r>
        <w:t xml:space="preserve">  The Consent Decree was executed by the parties on or about </w:t>
      </w:r>
      <w:r w:rsidR="002741CD">
        <w:t>January 6, 2012</w:t>
      </w:r>
      <w:r>
        <w:t xml:space="preserve">.  The Consent Decree will resolve those claims brought by the District of Columbia (“the District”) against </w:t>
      </w:r>
      <w:r w:rsidRPr="00D27776">
        <w:t>Potomac Creek Associates L.L.C., as the owner of the L’Enfant Plaza Mezzanine, L.L.C. (collectively “PCA”)</w:t>
      </w:r>
      <w:r>
        <w:t xml:space="preserve"> that are contained in a Complaint that the District will file simultaneously with the Consent Decree in D.C. Superior Court.  The District brings these claims through the District Department of the Environment (</w:t>
      </w:r>
      <w:r w:rsidR="002741CD">
        <w:t>“</w:t>
      </w:r>
      <w:r>
        <w:t>DDOE</w:t>
      </w:r>
      <w:r w:rsidR="002741CD">
        <w:t>”</w:t>
      </w:r>
      <w:r>
        <w:t xml:space="preserve">).  </w:t>
      </w:r>
    </w:p>
    <w:p w:rsidR="00A0697E" w:rsidRDefault="00A0697E" w:rsidP="00643413">
      <w:pPr>
        <w:ind w:right="18"/>
      </w:pPr>
    </w:p>
    <w:p w:rsidR="00A0697E" w:rsidRPr="00EC3D8A" w:rsidRDefault="00A0697E" w:rsidP="00643413">
      <w:pPr>
        <w:ind w:right="18"/>
      </w:pPr>
      <w:r>
        <w:t>The Complaint alleges violations of District regulations that are part of DDOE</w:t>
      </w:r>
      <w:r w:rsidRPr="00A75E22">
        <w:t xml:space="preserve">’s program to control and prevent air pollution in the </w:t>
      </w:r>
      <w:smartTag w:uri="urn:schemas-microsoft-com:office:smarttags" w:element="State">
        <w:smartTag w:uri="urn:schemas-microsoft-com:office:smarttags" w:element="place">
          <w:r w:rsidRPr="00A75E22">
            <w:t>District of Columbia</w:t>
          </w:r>
        </w:smartTag>
      </w:smartTag>
      <w:r w:rsidRPr="00A75E22">
        <w:t xml:space="preserve"> (“Air Program”)</w:t>
      </w:r>
      <w:r>
        <w:t>.  DDOE’s Air Program is codified in Chapters One through Twenty of Title 20 of the D.C. Municipal Regulations (20 DCMR §§ 100–20</w:t>
      </w:r>
      <w:r w:rsidRPr="00A75E22">
        <w:t>99</w:t>
      </w:r>
      <w:r>
        <w:t>) and</w:t>
      </w:r>
      <w:r w:rsidRPr="00A75E22">
        <w:t xml:space="preserve"> implements the Federal Clean Air Act</w:t>
      </w:r>
      <w:r>
        <w:t>, 42 U.S.C. §§ 7401–7671q (2006),</w:t>
      </w:r>
      <w:r w:rsidRPr="00A75E22">
        <w:t xml:space="preserve"> and </w:t>
      </w:r>
      <w:r>
        <w:t xml:space="preserve">the District of Columbia Air Pollution Control Act, </w:t>
      </w:r>
      <w:r w:rsidRPr="00740CB2">
        <w:t xml:space="preserve">D.C. </w:t>
      </w:r>
      <w:r>
        <w:t xml:space="preserve">Official </w:t>
      </w:r>
      <w:r w:rsidRPr="00740CB2">
        <w:t>Code</w:t>
      </w:r>
      <w:r>
        <w:t xml:space="preserve"> § 8-101.05.  DDOE specifically alleges </w:t>
      </w:r>
      <w:r w:rsidRPr="00EC3D8A">
        <w:t xml:space="preserve">that PCA violated 20 DCMR § 301.1(a)(4) by not filing an application for renewal of a major source operating permit (“Permit”) until </w:t>
      </w:r>
      <w:r w:rsidR="002741CD">
        <w:t xml:space="preserve">seven </w:t>
      </w:r>
      <w:r w:rsidRPr="00EC3D8A">
        <w:t>(</w:t>
      </w:r>
      <w:r w:rsidR="002741CD">
        <w:t>7</w:t>
      </w:r>
      <w:r w:rsidRPr="00EC3D8A">
        <w:t xml:space="preserve">) days after the permit application deadline.  Plaintiff further alleges that PCA violated 20 DCMR § 303.2 by operating without a Permit for twelve (12) days.  </w:t>
      </w:r>
    </w:p>
    <w:p w:rsidR="00A0697E" w:rsidRPr="008D5C4A" w:rsidRDefault="00A0697E" w:rsidP="0064263F">
      <w:pPr>
        <w:spacing w:before="240" w:after="240"/>
      </w:pPr>
      <w:r w:rsidRPr="00EC3D8A">
        <w:t xml:space="preserve">The Consent Decree obligates PCA to pay the </w:t>
      </w:r>
      <w:smartTag w:uri="urn:schemas-microsoft-com:office:smarttags" w:element="place">
        <w:smartTag w:uri="urn:schemas-microsoft-com:office:smarttags" w:element="State">
          <w:r w:rsidRPr="00EC3D8A">
            <w:t>District of Columbia</w:t>
          </w:r>
        </w:smartTag>
      </w:smartTag>
      <w:r w:rsidRPr="00EC3D8A">
        <w:t xml:space="preserve"> a civil penalty of $9,000 in compensation for all violations alleged in the Complaint.  The Parties agree in the Consent Decree that PCA will comply with its major source operating Permit #016, which expired on September 27, 2009, until DDOE issues a new Permit to PCA.   In consideration for receiving a reduced fine, PCA retain</w:t>
      </w:r>
      <w:r>
        <w:t>ed</w:t>
      </w:r>
      <w:r w:rsidRPr="00EC3D8A">
        <w:t xml:space="preserve"> an environmental cons</w:t>
      </w:r>
      <w:r>
        <w:t>ultant to perform several tasks intended to ensure future compliance</w:t>
      </w:r>
      <w:r w:rsidRPr="00EC3D8A">
        <w:t>.  These tasks include</w:t>
      </w:r>
      <w:r>
        <w:t>d</w:t>
      </w:r>
      <w:r w:rsidRPr="00EC3D8A">
        <w:t xml:space="preserve"> conducting a Major Source Operating Permit Compliance Assessment </w:t>
      </w:r>
      <w:r>
        <w:t>for the facility located at 995 L’Enfant Plaza North, SW Washington, DC 20024</w:t>
      </w:r>
      <w:r w:rsidRPr="00EC3D8A">
        <w:t xml:space="preserve"> (</w:t>
      </w:r>
      <w:r>
        <w:t xml:space="preserve">the </w:t>
      </w:r>
      <w:r w:rsidRPr="00EC3D8A">
        <w:t>“Site”), providing expert assistance to ensure PCA’s compliance with Permit requirements, developing</w:t>
      </w:r>
      <w:r>
        <w:t xml:space="preserve"> and </w:t>
      </w:r>
      <w:r w:rsidRPr="009D05E7">
        <w:t>conduct</w:t>
      </w:r>
      <w:r>
        <w:t>ing</w:t>
      </w:r>
      <w:r w:rsidRPr="009D05E7">
        <w:t xml:space="preserve"> an on</w:t>
      </w:r>
      <w:r>
        <w:t>-s</w:t>
      </w:r>
      <w:r w:rsidRPr="009D05E7">
        <w:t xml:space="preserve">ite </w:t>
      </w:r>
      <w:r>
        <w:t xml:space="preserve">Major Source Operating Permit </w:t>
      </w:r>
      <w:r w:rsidRPr="009D05E7">
        <w:t>Compliance Training</w:t>
      </w:r>
      <w:r>
        <w:t xml:space="preserve"> </w:t>
      </w:r>
      <w:r w:rsidRPr="009D05E7">
        <w:t xml:space="preserve">Program </w:t>
      </w:r>
      <w:r>
        <w:t xml:space="preserve">at the Site </w:t>
      </w:r>
      <w:r w:rsidRPr="009D05E7">
        <w:t>for on</w:t>
      </w:r>
      <w:r>
        <w:t>-s</w:t>
      </w:r>
      <w:r w:rsidRPr="009D05E7">
        <w:t xml:space="preserve">ite management and supervisory maintenance </w:t>
      </w:r>
      <w:r w:rsidRPr="00BB23CA">
        <w:t>personnel</w:t>
      </w:r>
      <w:r>
        <w:t>, and developing a c</w:t>
      </w:r>
      <w:r w:rsidRPr="009D05E7">
        <w:t xml:space="preserve">ompliance tracking program </w:t>
      </w:r>
      <w:r>
        <w:t>that</w:t>
      </w:r>
      <w:r w:rsidRPr="009D05E7">
        <w:t xml:space="preserve"> wil</w:t>
      </w:r>
      <w:r>
        <w:t>l</w:t>
      </w:r>
      <w:r w:rsidRPr="009D05E7">
        <w:t xml:space="preserve"> monitor compliance obligations</w:t>
      </w:r>
      <w:r>
        <w:t xml:space="preserve"> for the Site</w:t>
      </w:r>
      <w:r w:rsidRPr="009D05E7">
        <w:t>.</w:t>
      </w:r>
      <w:r>
        <w:t xml:space="preserve">  </w:t>
      </w:r>
    </w:p>
    <w:p w:rsidR="00A0697E" w:rsidRDefault="00A0697E" w:rsidP="00643413">
      <w:pPr>
        <w:rPr>
          <w:color w:val="000000"/>
        </w:rPr>
      </w:pPr>
      <w:r>
        <w:rPr>
          <w:rFonts w:ascii="Times-Roman" w:hAnsi="Times-Roman"/>
        </w:rPr>
        <w:t xml:space="preserve">For thirty (30) days after this publication, DDOE will receive comments relating to this Consent Decree.  All comments </w:t>
      </w:r>
      <w:r w:rsidRPr="002A7B63">
        <w:t>must be submitted in writing via mail</w:t>
      </w:r>
      <w:r>
        <w:t xml:space="preserve"> </w:t>
      </w:r>
      <w:r w:rsidRPr="002A7B63">
        <w:t xml:space="preserve">to the </w:t>
      </w:r>
      <w:r w:rsidRPr="004043F1">
        <w:rPr>
          <w:color w:val="000000"/>
        </w:rPr>
        <w:t xml:space="preserve">District Department of the Environment, </w:t>
      </w:r>
      <w:r>
        <w:rPr>
          <w:color w:val="000000"/>
        </w:rPr>
        <w:t>Air Quality Division</w:t>
      </w:r>
      <w:r w:rsidRPr="004043F1">
        <w:rPr>
          <w:color w:val="000000"/>
        </w:rPr>
        <w:t xml:space="preserve">, </w:t>
      </w:r>
      <w:r w:rsidRPr="0061284F">
        <w:rPr>
          <w:color w:val="000000"/>
        </w:rPr>
        <w:t>1200 Fi</w:t>
      </w:r>
      <w:r>
        <w:rPr>
          <w:color w:val="000000"/>
        </w:rPr>
        <w:t>rst Street, NE, 5</w:t>
      </w:r>
      <w:r w:rsidRPr="008515EA">
        <w:rPr>
          <w:color w:val="000000"/>
          <w:vertAlign w:val="superscript"/>
        </w:rPr>
        <w:t>th</w:t>
      </w:r>
      <w:r>
        <w:rPr>
          <w:color w:val="000000"/>
        </w:rPr>
        <w:t xml:space="preserve"> Floor, </w:t>
      </w:r>
      <w:r w:rsidRPr="0061284F">
        <w:rPr>
          <w:color w:val="000000"/>
        </w:rPr>
        <w:t>Washington, DC</w:t>
      </w:r>
      <w:r>
        <w:rPr>
          <w:color w:val="000000"/>
        </w:rPr>
        <w:t>,</w:t>
      </w:r>
      <w:r w:rsidRPr="0061284F">
        <w:rPr>
          <w:color w:val="000000"/>
        </w:rPr>
        <w:t xml:space="preserve"> 20002</w:t>
      </w:r>
      <w:r w:rsidRPr="004043F1">
        <w:rPr>
          <w:color w:val="000000"/>
        </w:rPr>
        <w:t xml:space="preserve">, Attention: </w:t>
      </w:r>
      <w:r>
        <w:rPr>
          <w:color w:val="000000"/>
        </w:rPr>
        <w:t>Stephen Ours</w:t>
      </w:r>
      <w:r w:rsidRPr="004043F1">
        <w:rPr>
          <w:color w:val="000000"/>
        </w:rPr>
        <w:t xml:space="preserve">, or </w:t>
      </w:r>
      <w:r>
        <w:rPr>
          <w:color w:val="000000"/>
        </w:rPr>
        <w:t xml:space="preserve">by </w:t>
      </w:r>
      <w:r w:rsidRPr="004043F1">
        <w:rPr>
          <w:color w:val="000000"/>
        </w:rPr>
        <w:t>e-mail</w:t>
      </w:r>
      <w:r>
        <w:rPr>
          <w:color w:val="000000"/>
        </w:rPr>
        <w:t xml:space="preserve"> to</w:t>
      </w:r>
      <w:r w:rsidRPr="004043F1">
        <w:rPr>
          <w:color w:val="000000"/>
        </w:rPr>
        <w:t xml:space="preserve"> </w:t>
      </w:r>
      <w:hyperlink r:id="rId7" w:history="1">
        <w:r w:rsidRPr="00D87DCB">
          <w:rPr>
            <w:rStyle w:val="Hyperlink"/>
          </w:rPr>
          <w:t>Stephen.ours@dc.gov</w:t>
        </w:r>
      </w:hyperlink>
      <w:r>
        <w:rPr>
          <w:color w:val="000000"/>
        </w:rPr>
        <w:t xml:space="preserve">. </w:t>
      </w:r>
      <w:r w:rsidRPr="004043F1">
        <w:rPr>
          <w:color w:val="000000"/>
        </w:rPr>
        <w:t xml:space="preserve"> </w:t>
      </w:r>
      <w:r>
        <w:rPr>
          <w:color w:val="000000"/>
        </w:rPr>
        <w:t xml:space="preserve"> In either case, the comments must be filed by COB </w:t>
      </w:r>
      <w:r w:rsidR="002741CD">
        <w:rPr>
          <w:color w:val="000000"/>
        </w:rPr>
        <w:t>February 21, 2012</w:t>
      </w:r>
      <w:r>
        <w:rPr>
          <w:color w:val="000000"/>
        </w:rPr>
        <w:t xml:space="preserve"> and should refer to </w:t>
      </w:r>
      <w:r w:rsidRPr="00AB5A17">
        <w:rPr>
          <w:u w:val="single"/>
        </w:rPr>
        <w:t>District of Columbia v. Potomac Creek Associates, L.L.C.</w:t>
      </w:r>
      <w:r>
        <w:rPr>
          <w:color w:val="000000"/>
        </w:rPr>
        <w:t xml:space="preserve">  </w:t>
      </w:r>
    </w:p>
    <w:p w:rsidR="00A0697E" w:rsidRDefault="00A0697E" w:rsidP="0013246A">
      <w:r>
        <w:t xml:space="preserve">   </w:t>
      </w:r>
    </w:p>
    <w:p w:rsidR="00A0697E" w:rsidRPr="00343210" w:rsidRDefault="00A0697E" w:rsidP="0013246A">
      <w:r>
        <w:lastRenderedPageBreak/>
        <w:t>The District’s de</w:t>
      </w:r>
      <w:r w:rsidR="002741CD">
        <w:t xml:space="preserve">cision </w:t>
      </w:r>
      <w:r>
        <w:t>to seek public comment on this settlement does not constitute a determination by the District that it is required to solicit public input in its settlement decisions in this case or</w:t>
      </w:r>
      <w:bookmarkStart w:id="0" w:name="_GoBack"/>
      <w:bookmarkEnd w:id="0"/>
      <w:r>
        <w:t xml:space="preserve"> in any other environmental or non-environmental action.</w:t>
      </w:r>
    </w:p>
    <w:p w:rsidR="00A0697E" w:rsidRDefault="00A0697E"/>
    <w:sectPr w:rsidR="00A0697E" w:rsidSect="00577A9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7E" w:rsidRDefault="00A0697E" w:rsidP="00643413">
      <w:r>
        <w:separator/>
      </w:r>
    </w:p>
  </w:endnote>
  <w:endnote w:type="continuationSeparator" w:id="0">
    <w:p w:rsidR="00A0697E" w:rsidRDefault="00A0697E" w:rsidP="006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7E" w:rsidRDefault="002741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697E" w:rsidRDefault="00A0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7E" w:rsidRDefault="00A0697E" w:rsidP="00643413">
      <w:r>
        <w:separator/>
      </w:r>
    </w:p>
  </w:footnote>
  <w:footnote w:type="continuationSeparator" w:id="0">
    <w:p w:rsidR="00A0697E" w:rsidRDefault="00A0697E" w:rsidP="0064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6A"/>
    <w:rsid w:val="000078E4"/>
    <w:rsid w:val="000505BE"/>
    <w:rsid w:val="000B6C98"/>
    <w:rsid w:val="00120749"/>
    <w:rsid w:val="001318D6"/>
    <w:rsid w:val="0013246A"/>
    <w:rsid w:val="001B4E83"/>
    <w:rsid w:val="001E630F"/>
    <w:rsid w:val="002533BF"/>
    <w:rsid w:val="002741CD"/>
    <w:rsid w:val="002A7B63"/>
    <w:rsid w:val="002E4EEB"/>
    <w:rsid w:val="003021CD"/>
    <w:rsid w:val="00343210"/>
    <w:rsid w:val="00354AFA"/>
    <w:rsid w:val="003A118E"/>
    <w:rsid w:val="003E01D9"/>
    <w:rsid w:val="003E1B17"/>
    <w:rsid w:val="003F0ECE"/>
    <w:rsid w:val="004043F1"/>
    <w:rsid w:val="00426092"/>
    <w:rsid w:val="004568C1"/>
    <w:rsid w:val="00491BFD"/>
    <w:rsid w:val="00503685"/>
    <w:rsid w:val="00506DA6"/>
    <w:rsid w:val="00520D99"/>
    <w:rsid w:val="00577A96"/>
    <w:rsid w:val="0061284F"/>
    <w:rsid w:val="0064263F"/>
    <w:rsid w:val="00643413"/>
    <w:rsid w:val="00657C32"/>
    <w:rsid w:val="00662562"/>
    <w:rsid w:val="0068369D"/>
    <w:rsid w:val="00686CBF"/>
    <w:rsid w:val="006E0633"/>
    <w:rsid w:val="006E2760"/>
    <w:rsid w:val="006E2F72"/>
    <w:rsid w:val="006F634D"/>
    <w:rsid w:val="006F7162"/>
    <w:rsid w:val="00707946"/>
    <w:rsid w:val="00740CB2"/>
    <w:rsid w:val="00772B35"/>
    <w:rsid w:val="007F1CA2"/>
    <w:rsid w:val="008515EA"/>
    <w:rsid w:val="00897048"/>
    <w:rsid w:val="008A05B1"/>
    <w:rsid w:val="008B241A"/>
    <w:rsid w:val="008D5C4A"/>
    <w:rsid w:val="00926E72"/>
    <w:rsid w:val="009B3D01"/>
    <w:rsid w:val="009D05E7"/>
    <w:rsid w:val="00A0697E"/>
    <w:rsid w:val="00A37240"/>
    <w:rsid w:val="00A75E22"/>
    <w:rsid w:val="00A835BB"/>
    <w:rsid w:val="00A970B7"/>
    <w:rsid w:val="00AB5A17"/>
    <w:rsid w:val="00B145BA"/>
    <w:rsid w:val="00BA5A69"/>
    <w:rsid w:val="00BB23CA"/>
    <w:rsid w:val="00C87558"/>
    <w:rsid w:val="00D22F6E"/>
    <w:rsid w:val="00D24601"/>
    <w:rsid w:val="00D27776"/>
    <w:rsid w:val="00D3186C"/>
    <w:rsid w:val="00D87DCB"/>
    <w:rsid w:val="00DA625F"/>
    <w:rsid w:val="00DB6372"/>
    <w:rsid w:val="00DD4F73"/>
    <w:rsid w:val="00E34F51"/>
    <w:rsid w:val="00EA1BDB"/>
    <w:rsid w:val="00EC3474"/>
    <w:rsid w:val="00EC3D8A"/>
    <w:rsid w:val="00EC58FE"/>
    <w:rsid w:val="00F1537F"/>
    <w:rsid w:val="00F41203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246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D22F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2F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2F6E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autoRedefine/>
    <w:uiPriority w:val="99"/>
    <w:rsid w:val="00643413"/>
    <w:pPr>
      <w:spacing w:before="240"/>
      <w:ind w:right="18" w:firstLine="720"/>
      <w:outlineLvl w:val="0"/>
    </w:pPr>
    <w:rPr>
      <w:rFonts w:ascii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64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41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4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246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D22F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2F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2F6E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autoRedefine/>
    <w:uiPriority w:val="99"/>
    <w:rsid w:val="00643413"/>
    <w:pPr>
      <w:spacing w:before="240"/>
      <w:ind w:right="18" w:firstLine="720"/>
      <w:outlineLvl w:val="0"/>
    </w:pPr>
    <w:rPr>
      <w:rFonts w:ascii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64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41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4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en.ours@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DEPARTMENT OF THE ENVIRONMENT</vt:lpstr>
    </vt:vector>
  </TitlesOfParts>
  <Company>DC Government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DEPARTMENT OF THE ENVIRONMENT</dc:title>
  <dc:creator>Rachele.Treger</dc:creator>
  <cp:lastModifiedBy>ServUS</cp:lastModifiedBy>
  <cp:revision>2</cp:revision>
  <cp:lastPrinted>2011-04-01T18:55:00Z</cp:lastPrinted>
  <dcterms:created xsi:type="dcterms:W3CDTF">2012-01-13T22:53:00Z</dcterms:created>
  <dcterms:modified xsi:type="dcterms:W3CDTF">2012-01-13T22:53:00Z</dcterms:modified>
</cp:coreProperties>
</file>