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5" w:rsidRPr="004144E5" w:rsidRDefault="002D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B</w:t>
      </w:r>
      <w:r w:rsidR="00AE2395" w:rsidRPr="004144E5">
        <w:rPr>
          <w:rFonts w:ascii="Times New Roman" w:hAnsi="Times New Roman" w:cs="Times New Roman"/>
          <w:sz w:val="24"/>
          <w:szCs w:val="24"/>
        </w:rPr>
        <w:t xml:space="preserve">:  </w:t>
      </w:r>
      <w:r w:rsidR="00AE2395" w:rsidRPr="004144E5">
        <w:rPr>
          <w:rFonts w:ascii="Times New Roman" w:hAnsi="Times New Roman" w:cs="Times New Roman"/>
          <w:sz w:val="24"/>
          <w:szCs w:val="24"/>
        </w:rPr>
        <w:tab/>
      </w:r>
    </w:p>
    <w:p w:rsidR="00315436" w:rsidRPr="004144E5" w:rsidRDefault="00315436" w:rsidP="00315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4E5">
        <w:rPr>
          <w:rFonts w:ascii="Times New Roman" w:hAnsi="Times New Roman" w:cs="Times New Roman"/>
          <w:b/>
          <w:bCs/>
          <w:sz w:val="24"/>
          <w:szCs w:val="24"/>
        </w:rPr>
        <w:t>CLEAN AIR ACT § 110(a)(2)(D)(i)</w:t>
      </w:r>
      <w:r w:rsidR="00AE2395" w:rsidRPr="004144E5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Pr="004144E5">
        <w:rPr>
          <w:rFonts w:ascii="Times New Roman" w:hAnsi="Times New Roman" w:cs="Times New Roman"/>
          <w:b/>
          <w:bCs/>
          <w:sz w:val="24"/>
          <w:szCs w:val="24"/>
        </w:rPr>
        <w:t xml:space="preserve"> – Interstate Transport Provisions</w:t>
      </w:r>
    </w:p>
    <w:p w:rsidR="00315436" w:rsidRPr="004144E5" w:rsidRDefault="00315436" w:rsidP="003154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15436" w:rsidRPr="004144E5" w:rsidRDefault="00315436" w:rsidP="003154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44E5">
        <w:rPr>
          <w:rFonts w:ascii="Times New Roman" w:hAnsi="Times New Roman" w:cs="Times New Roman"/>
          <w:i/>
          <w:iCs/>
          <w:sz w:val="24"/>
          <w:szCs w:val="24"/>
        </w:rPr>
        <w:t xml:space="preserve">“Each such plan shall […] contain adequate provisions  </w:t>
      </w:r>
    </w:p>
    <w:p w:rsidR="00315436" w:rsidRPr="004144E5" w:rsidRDefault="00315436" w:rsidP="00315436">
      <w:pPr>
        <w:pStyle w:val="ListParagraph"/>
        <w:numPr>
          <w:ilvl w:val="0"/>
          <w:numId w:val="1"/>
        </w:numPr>
        <w:rPr>
          <w:i/>
          <w:iCs/>
        </w:rPr>
      </w:pPr>
      <w:r w:rsidRPr="004144E5">
        <w:rPr>
          <w:i/>
          <w:iCs/>
        </w:rPr>
        <w:t>Prohibiting, consistent with the provisions of this subchapter, any source or other type of emissions activity within the state from emitting any air pollutant in amounts which will:</w:t>
      </w:r>
    </w:p>
    <w:p w:rsidR="00315436" w:rsidRPr="004144E5" w:rsidRDefault="00315436" w:rsidP="00315436">
      <w:pPr>
        <w:pStyle w:val="ListParagraph"/>
        <w:numPr>
          <w:ilvl w:val="0"/>
          <w:numId w:val="2"/>
        </w:numPr>
        <w:rPr>
          <w:i/>
          <w:iCs/>
        </w:rPr>
      </w:pPr>
      <w:r w:rsidRPr="004144E5">
        <w:rPr>
          <w:i/>
          <w:iCs/>
        </w:rPr>
        <w:t>Contribute significantly to nonattainment in, or interfere with maintenance by, any other State with respect to any such national primary or secondary ambient air quality standard, or</w:t>
      </w:r>
    </w:p>
    <w:p w:rsidR="00315436" w:rsidRPr="004144E5" w:rsidRDefault="00315436">
      <w:pPr>
        <w:rPr>
          <w:rFonts w:ascii="Times New Roman" w:hAnsi="Times New Roman" w:cs="Times New Roman"/>
          <w:sz w:val="24"/>
          <w:szCs w:val="24"/>
        </w:rPr>
      </w:pPr>
    </w:p>
    <w:p w:rsidR="001F7167" w:rsidRPr="00156EAF" w:rsidRDefault="001F7167" w:rsidP="00151A18">
      <w:pPr>
        <w:rPr>
          <w:rFonts w:ascii="Times New Roman" w:hAnsi="Times New Roman" w:cs="Times New Roman"/>
          <w:sz w:val="24"/>
          <w:szCs w:val="24"/>
        </w:rPr>
      </w:pPr>
      <w:r w:rsidRPr="001F7167">
        <w:rPr>
          <w:rFonts w:ascii="Times New Roman" w:hAnsi="Times New Roman" w:cs="Times New Roman"/>
          <w:sz w:val="24"/>
          <w:szCs w:val="24"/>
        </w:rPr>
        <w:t xml:space="preserve">The District of Columbia (District) does not </w:t>
      </w:r>
      <w:r>
        <w:rPr>
          <w:rFonts w:ascii="Times New Roman" w:hAnsi="Times New Roman" w:cs="Times New Roman"/>
          <w:sz w:val="24"/>
          <w:szCs w:val="24"/>
        </w:rPr>
        <w:t xml:space="preserve">contribute to nonattainment in, or interference with maintenance by, any other state with respect to the </w:t>
      </w:r>
      <w:r w:rsidR="00A0737D">
        <w:rPr>
          <w:rFonts w:ascii="Times New Roman" w:hAnsi="Times New Roman" w:cs="Times New Roman"/>
          <w:sz w:val="24"/>
          <w:szCs w:val="24"/>
        </w:rPr>
        <w:t>2012 fine particulate matter (PM</w:t>
      </w:r>
      <w:r w:rsidR="00A0737D" w:rsidRPr="00A0737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A0737D">
        <w:rPr>
          <w:rFonts w:ascii="Times New Roman" w:hAnsi="Times New Roman" w:cs="Times New Roman"/>
          <w:sz w:val="24"/>
          <w:szCs w:val="24"/>
        </w:rPr>
        <w:t>)</w:t>
      </w:r>
      <w:r w:rsidR="0067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ambient air </w:t>
      </w:r>
      <w:r w:rsidRPr="00156EAF">
        <w:rPr>
          <w:rFonts w:ascii="Times New Roman" w:hAnsi="Times New Roman" w:cs="Times New Roman"/>
          <w:sz w:val="24"/>
          <w:szCs w:val="24"/>
        </w:rPr>
        <w:t xml:space="preserve">quality standards (NAAQS).  As explained below, </w:t>
      </w:r>
      <w:r w:rsidR="00010EE9">
        <w:rPr>
          <w:rFonts w:ascii="Times New Roman" w:hAnsi="Times New Roman" w:cs="Times New Roman"/>
          <w:sz w:val="24"/>
          <w:szCs w:val="24"/>
        </w:rPr>
        <w:t>pollutant levels in the ambient air are below the standards.  E</w:t>
      </w:r>
      <w:r w:rsidR="009C1916" w:rsidRPr="00156EAF">
        <w:rPr>
          <w:rFonts w:ascii="Times New Roman" w:hAnsi="Times New Roman" w:cs="Times New Roman"/>
          <w:sz w:val="24"/>
          <w:szCs w:val="24"/>
        </w:rPr>
        <w:t xml:space="preserve">missions of </w:t>
      </w:r>
      <w:r w:rsidR="00A0737D" w:rsidRPr="00156EAF">
        <w:rPr>
          <w:rFonts w:ascii="Times New Roman" w:hAnsi="Times New Roman" w:cs="Times New Roman"/>
          <w:sz w:val="24"/>
          <w:szCs w:val="24"/>
        </w:rPr>
        <w:t>PM</w:t>
      </w:r>
      <w:r w:rsidR="00A0737D" w:rsidRPr="00156EA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055E40" w:rsidRPr="00156EAF">
        <w:rPr>
          <w:rFonts w:ascii="Times New Roman" w:hAnsi="Times New Roman" w:cs="Times New Roman"/>
          <w:sz w:val="24"/>
          <w:szCs w:val="24"/>
        </w:rPr>
        <w:t xml:space="preserve"> from sources in the District are </w:t>
      </w:r>
      <w:r w:rsidR="00FC2F24" w:rsidRPr="00156EAF">
        <w:rPr>
          <w:rFonts w:ascii="Times New Roman" w:hAnsi="Times New Roman" w:cs="Times New Roman"/>
          <w:sz w:val="24"/>
          <w:szCs w:val="24"/>
        </w:rPr>
        <w:t>small</w:t>
      </w:r>
      <w:r w:rsidR="00055E40" w:rsidRPr="00156EAF">
        <w:rPr>
          <w:rFonts w:ascii="Times New Roman" w:hAnsi="Times New Roman" w:cs="Times New Roman"/>
          <w:sz w:val="24"/>
          <w:szCs w:val="24"/>
        </w:rPr>
        <w:t xml:space="preserve"> relative to those from other states.  </w:t>
      </w:r>
      <w:r w:rsidR="007C2295" w:rsidRPr="00156EAF">
        <w:rPr>
          <w:rFonts w:ascii="Times New Roman" w:hAnsi="Times New Roman" w:cs="Times New Roman"/>
          <w:sz w:val="24"/>
          <w:szCs w:val="24"/>
        </w:rPr>
        <w:t>State Implementation Plan (</w:t>
      </w:r>
      <w:r w:rsidR="00315E28" w:rsidRPr="00156EAF">
        <w:rPr>
          <w:rFonts w:ascii="Times New Roman" w:hAnsi="Times New Roman" w:cs="Times New Roman"/>
          <w:sz w:val="24"/>
          <w:szCs w:val="24"/>
        </w:rPr>
        <w:t>SIP</w:t>
      </w:r>
      <w:r w:rsidR="007C2295" w:rsidRPr="00156EAF">
        <w:rPr>
          <w:rFonts w:ascii="Times New Roman" w:hAnsi="Times New Roman" w:cs="Times New Roman"/>
          <w:sz w:val="24"/>
          <w:szCs w:val="24"/>
        </w:rPr>
        <w:t>)</w:t>
      </w:r>
      <w:r w:rsidR="006748E4" w:rsidRPr="00156EAF">
        <w:rPr>
          <w:rFonts w:ascii="Times New Roman" w:hAnsi="Times New Roman" w:cs="Times New Roman"/>
          <w:sz w:val="24"/>
          <w:szCs w:val="24"/>
        </w:rPr>
        <w:t>-</w:t>
      </w:r>
      <w:r w:rsidR="00315E28" w:rsidRPr="00156EAF">
        <w:rPr>
          <w:rFonts w:ascii="Times New Roman" w:hAnsi="Times New Roman" w:cs="Times New Roman"/>
          <w:sz w:val="24"/>
          <w:szCs w:val="24"/>
        </w:rPr>
        <w:t xml:space="preserve">approved regulations </w:t>
      </w:r>
      <w:r w:rsidR="00C828C2" w:rsidRPr="00156EAF">
        <w:rPr>
          <w:rFonts w:ascii="Times New Roman" w:hAnsi="Times New Roman" w:cs="Times New Roman"/>
          <w:sz w:val="24"/>
          <w:szCs w:val="24"/>
        </w:rPr>
        <w:t xml:space="preserve">to reduce emissions from sources that emit </w:t>
      </w:r>
      <w:r w:rsidR="00A0737D" w:rsidRPr="00156EAF">
        <w:rPr>
          <w:rFonts w:ascii="Times New Roman" w:hAnsi="Times New Roman" w:cs="Times New Roman"/>
          <w:sz w:val="24"/>
          <w:szCs w:val="24"/>
        </w:rPr>
        <w:t>PM</w:t>
      </w:r>
      <w:r w:rsidR="00A0737D" w:rsidRPr="00156EAF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A0737D" w:rsidRPr="00156EAF">
        <w:rPr>
          <w:rFonts w:ascii="Times New Roman" w:hAnsi="Times New Roman" w:cs="Times New Roman"/>
          <w:sz w:val="24"/>
          <w:szCs w:val="24"/>
        </w:rPr>
        <w:t>and its precursors</w:t>
      </w:r>
      <w:r w:rsidR="00C828C2" w:rsidRPr="00156EAF">
        <w:rPr>
          <w:rFonts w:ascii="Times New Roman" w:hAnsi="Times New Roman" w:cs="Times New Roman"/>
          <w:sz w:val="24"/>
          <w:szCs w:val="24"/>
        </w:rPr>
        <w:t xml:space="preserve"> </w:t>
      </w:r>
      <w:r w:rsidR="00315E28" w:rsidRPr="00156EAF">
        <w:rPr>
          <w:rFonts w:ascii="Times New Roman" w:hAnsi="Times New Roman" w:cs="Times New Roman"/>
          <w:sz w:val="24"/>
          <w:szCs w:val="24"/>
        </w:rPr>
        <w:t>are in place as appropriate</w:t>
      </w:r>
      <w:r w:rsidR="00055E40" w:rsidRPr="00156E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6B65" w:rsidRPr="00156EAF" w:rsidRDefault="00606B65" w:rsidP="00151A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5E40" w:rsidRPr="00156EAF" w:rsidRDefault="00454E42" w:rsidP="00151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EAF">
        <w:rPr>
          <w:rFonts w:ascii="Times New Roman" w:hAnsi="Times New Roman" w:cs="Times New Roman"/>
          <w:sz w:val="24"/>
          <w:szCs w:val="24"/>
          <w:u w:val="single"/>
        </w:rPr>
        <w:t>PM</w:t>
      </w:r>
      <w:r w:rsidRPr="00156EA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2.5</w:t>
      </w:r>
      <w:r w:rsidR="00422888" w:rsidRPr="00156EA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422888" w:rsidRPr="00156EAF">
        <w:rPr>
          <w:rFonts w:ascii="Times New Roman" w:hAnsi="Times New Roman" w:cs="Times New Roman"/>
          <w:sz w:val="24"/>
          <w:szCs w:val="24"/>
          <w:u w:val="single"/>
        </w:rPr>
        <w:t>Trends</w:t>
      </w:r>
    </w:p>
    <w:p w:rsidR="00055E40" w:rsidRPr="00156EAF" w:rsidRDefault="00055E40" w:rsidP="00151A1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EE9" w:rsidRPr="00010EE9" w:rsidRDefault="00B10020" w:rsidP="00010EE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56EAF">
        <w:rPr>
          <w:rFonts w:ascii="Times New Roman" w:hAnsi="Times New Roman" w:cs="Times New Roman"/>
          <w:sz w:val="24"/>
          <w:szCs w:val="24"/>
        </w:rPr>
        <w:t xml:space="preserve">Ambient measurements </w:t>
      </w:r>
      <w:r w:rsidR="00454E42" w:rsidRPr="00156EAF">
        <w:rPr>
          <w:rFonts w:ascii="Times New Roman" w:hAnsi="Times New Roman" w:cs="Times New Roman"/>
          <w:sz w:val="24"/>
          <w:szCs w:val="24"/>
        </w:rPr>
        <w:t>of PM</w:t>
      </w:r>
      <w:r w:rsidR="00454E42" w:rsidRPr="00156EA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156E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56EAF">
        <w:rPr>
          <w:rFonts w:ascii="Times New Roman" w:hAnsi="Times New Roman" w:cs="Times New Roman"/>
          <w:sz w:val="24"/>
          <w:szCs w:val="24"/>
        </w:rPr>
        <w:t>are co</w:t>
      </w:r>
      <w:r w:rsidR="001363E7">
        <w:rPr>
          <w:rFonts w:ascii="Times New Roman" w:hAnsi="Times New Roman" w:cs="Times New Roman"/>
          <w:sz w:val="24"/>
          <w:szCs w:val="24"/>
        </w:rPr>
        <w:t>llected</w:t>
      </w:r>
      <w:r w:rsidRPr="00156EAF">
        <w:rPr>
          <w:rFonts w:ascii="Times New Roman" w:hAnsi="Times New Roman" w:cs="Times New Roman"/>
          <w:sz w:val="24"/>
          <w:szCs w:val="24"/>
        </w:rPr>
        <w:t xml:space="preserve"> at three air monito</w:t>
      </w:r>
      <w:r w:rsidR="00156EAF">
        <w:rPr>
          <w:rFonts w:ascii="Times New Roman" w:hAnsi="Times New Roman" w:cs="Times New Roman"/>
          <w:sz w:val="24"/>
          <w:szCs w:val="24"/>
        </w:rPr>
        <w:t>ring sites in the District</w:t>
      </w:r>
      <w:r w:rsidR="00010EE9">
        <w:rPr>
          <w:rFonts w:ascii="Times New Roman" w:hAnsi="Times New Roman" w:cs="Times New Roman"/>
          <w:sz w:val="24"/>
          <w:szCs w:val="24"/>
        </w:rPr>
        <w:t>.  Results</w:t>
      </w:r>
      <w:r w:rsidR="001363E7">
        <w:rPr>
          <w:rFonts w:ascii="Times New Roman" w:hAnsi="Times New Roman" w:cs="Times New Roman"/>
          <w:sz w:val="24"/>
          <w:szCs w:val="24"/>
        </w:rPr>
        <w:t xml:space="preserve"> demonstrate that</w:t>
      </w:r>
      <w:r w:rsidRPr="00156EAF">
        <w:rPr>
          <w:rFonts w:ascii="Times New Roman" w:hAnsi="Times New Roman" w:cs="Times New Roman"/>
          <w:sz w:val="24"/>
          <w:szCs w:val="24"/>
        </w:rPr>
        <w:t xml:space="preserve"> </w:t>
      </w:r>
      <w:r w:rsidR="00156EAF">
        <w:rPr>
          <w:rFonts w:ascii="Times New Roman" w:hAnsi="Times New Roman" w:cs="Times New Roman"/>
          <w:sz w:val="24"/>
          <w:szCs w:val="24"/>
        </w:rPr>
        <w:t>PM</w:t>
      </w:r>
      <w:r w:rsidR="00156EAF" w:rsidRPr="00156EA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156E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56EAF">
        <w:rPr>
          <w:rFonts w:ascii="Times New Roman" w:hAnsi="Times New Roman" w:cs="Times New Roman"/>
          <w:sz w:val="24"/>
          <w:szCs w:val="24"/>
        </w:rPr>
        <w:t xml:space="preserve">concentrations have dropped over time.  </w:t>
      </w:r>
      <w:r w:rsidR="00394D60" w:rsidRPr="00156EAF">
        <w:rPr>
          <w:rFonts w:ascii="Times New Roman" w:hAnsi="Times New Roman" w:cs="Times New Roman"/>
          <w:sz w:val="24"/>
          <w:szCs w:val="24"/>
        </w:rPr>
        <w:t>Figure 1</w:t>
      </w:r>
      <w:r w:rsidR="00394D60" w:rsidRPr="00454E42">
        <w:rPr>
          <w:rFonts w:ascii="Times New Roman" w:hAnsi="Times New Roman" w:cs="Times New Roman"/>
          <w:sz w:val="24"/>
          <w:szCs w:val="24"/>
        </w:rPr>
        <w:t xml:space="preserve"> </w:t>
      </w:r>
      <w:r w:rsidR="00010EE9">
        <w:rPr>
          <w:rFonts w:ascii="Times New Roman" w:hAnsi="Times New Roman" w:cs="Times New Roman"/>
          <w:sz w:val="24"/>
          <w:szCs w:val="24"/>
        </w:rPr>
        <w:t xml:space="preserve">shows </w:t>
      </w:r>
      <w:r w:rsidR="00010EE9" w:rsidRPr="00010EE9">
        <w:rPr>
          <w:rFonts w:ascii="Times New Roman" w:hAnsi="Times New Roman" w:cs="Times New Roman"/>
          <w:sz w:val="24"/>
          <w:szCs w:val="24"/>
        </w:rPr>
        <w:t>that</w:t>
      </w:r>
      <w:r w:rsidRPr="00010EE9">
        <w:rPr>
          <w:rFonts w:ascii="Times New Roman" w:hAnsi="Times New Roman" w:cs="Times New Roman"/>
          <w:sz w:val="24"/>
          <w:szCs w:val="24"/>
        </w:rPr>
        <w:t xml:space="preserve"> </w:t>
      </w:r>
      <w:r w:rsidR="00454E42" w:rsidRPr="00010EE9">
        <w:rPr>
          <w:rFonts w:ascii="Times New Roman" w:hAnsi="Times New Roman" w:cs="Times New Roman"/>
          <w:sz w:val="24"/>
          <w:szCs w:val="24"/>
        </w:rPr>
        <w:t>PM</w:t>
      </w:r>
      <w:r w:rsidR="00454E42" w:rsidRPr="00010EE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394D60" w:rsidRPr="00010EE9">
        <w:rPr>
          <w:rFonts w:ascii="Times New Roman" w:hAnsi="Times New Roman" w:cs="Times New Roman"/>
          <w:sz w:val="24"/>
          <w:szCs w:val="24"/>
        </w:rPr>
        <w:t xml:space="preserve"> </w:t>
      </w:r>
      <w:r w:rsidRPr="00010EE9">
        <w:rPr>
          <w:rFonts w:ascii="Times New Roman" w:hAnsi="Times New Roman" w:cs="Times New Roman"/>
          <w:sz w:val="24"/>
          <w:szCs w:val="24"/>
        </w:rPr>
        <w:t xml:space="preserve">design concentrations </w:t>
      </w:r>
      <w:r w:rsidR="00156EAF" w:rsidRPr="00010EE9">
        <w:rPr>
          <w:rFonts w:ascii="Times New Roman" w:hAnsi="Times New Roman" w:cs="Times New Roman"/>
          <w:sz w:val="24"/>
          <w:szCs w:val="24"/>
        </w:rPr>
        <w:t>are well below</w:t>
      </w:r>
      <w:r w:rsidR="00010EE9" w:rsidRPr="00010EE9">
        <w:rPr>
          <w:rFonts w:ascii="Times New Roman" w:hAnsi="Times New Roman" w:cs="Times New Roman"/>
          <w:sz w:val="24"/>
          <w:szCs w:val="24"/>
        </w:rPr>
        <w:t xml:space="preserve"> both</w:t>
      </w:r>
      <w:r w:rsidR="00156EAF" w:rsidRPr="00010EE9">
        <w:rPr>
          <w:rFonts w:ascii="Times New Roman" w:hAnsi="Times New Roman" w:cs="Times New Roman"/>
          <w:sz w:val="24"/>
          <w:szCs w:val="24"/>
        </w:rPr>
        <w:t xml:space="preserve"> the 2012 annual </w:t>
      </w:r>
      <w:r w:rsidR="007A0B5C" w:rsidRPr="00010EE9">
        <w:rPr>
          <w:rFonts w:ascii="Times New Roman" w:hAnsi="Times New Roman" w:cs="Times New Roman"/>
          <w:sz w:val="24"/>
          <w:szCs w:val="24"/>
        </w:rPr>
        <w:t xml:space="preserve">and daily </w:t>
      </w:r>
      <w:r w:rsidR="00156EAF" w:rsidRPr="00010EE9">
        <w:rPr>
          <w:rFonts w:ascii="Times New Roman" w:hAnsi="Times New Roman" w:cs="Times New Roman"/>
          <w:sz w:val="24"/>
          <w:szCs w:val="24"/>
        </w:rPr>
        <w:t>standard</w:t>
      </w:r>
      <w:r w:rsidR="007A0B5C" w:rsidRPr="00010EE9">
        <w:rPr>
          <w:rFonts w:ascii="Times New Roman" w:hAnsi="Times New Roman" w:cs="Times New Roman"/>
          <w:sz w:val="24"/>
          <w:szCs w:val="24"/>
        </w:rPr>
        <w:t>s</w:t>
      </w:r>
      <w:r w:rsidR="00394D60" w:rsidRPr="00010EE9">
        <w:rPr>
          <w:rFonts w:ascii="Times New Roman" w:hAnsi="Times New Roman" w:cs="Times New Roman"/>
          <w:sz w:val="24"/>
          <w:szCs w:val="24"/>
        </w:rPr>
        <w:t>.</w:t>
      </w:r>
      <w:r w:rsidR="00394D60" w:rsidRPr="00010EE9" w:rsidDel="00394D60">
        <w:rPr>
          <w:rFonts w:ascii="Times New Roman" w:hAnsi="Times New Roman" w:cs="Times New Roman"/>
          <w:sz w:val="24"/>
          <w:szCs w:val="24"/>
        </w:rPr>
        <w:t xml:space="preserve"> </w:t>
      </w:r>
      <w:r w:rsidR="00010EE9">
        <w:rPr>
          <w:rFonts w:ascii="Times New Roman" w:hAnsi="Times New Roman" w:cs="Times New Roman"/>
          <w:sz w:val="24"/>
          <w:szCs w:val="24"/>
        </w:rPr>
        <w:t xml:space="preserve"> </w:t>
      </w:r>
      <w:r w:rsidR="00010EE9" w:rsidRPr="00010EE9">
        <w:rPr>
          <w:rFonts w:ascii="Times New Roman" w:hAnsi="Times New Roman" w:cs="Times New Roman"/>
          <w:sz w:val="24"/>
          <w:szCs w:val="24"/>
        </w:rPr>
        <w:t xml:space="preserve">These downward trends are likely </w:t>
      </w:r>
      <w:r w:rsidR="00010EE9">
        <w:rPr>
          <w:rFonts w:ascii="Times New Roman" w:hAnsi="Times New Roman" w:cs="Times New Roman"/>
          <w:sz w:val="24"/>
          <w:szCs w:val="24"/>
        </w:rPr>
        <w:t>a result</w:t>
      </w:r>
      <w:r w:rsidR="00010EE9" w:rsidRPr="00010EE9">
        <w:rPr>
          <w:rFonts w:ascii="Times New Roman" w:hAnsi="Times New Roman" w:cs="Times New Roman"/>
          <w:sz w:val="24"/>
          <w:szCs w:val="24"/>
        </w:rPr>
        <w:t xml:space="preserve"> of Federal control programs that limit emissions from </w:t>
      </w:r>
      <w:proofErr w:type="spellStart"/>
      <w:r w:rsidR="00010EE9" w:rsidRPr="00010EE9">
        <w:rPr>
          <w:rFonts w:ascii="Times New Roman" w:hAnsi="Times New Roman" w:cs="Times New Roman"/>
          <w:sz w:val="24"/>
          <w:szCs w:val="24"/>
        </w:rPr>
        <w:t>nonroad</w:t>
      </w:r>
      <w:proofErr w:type="spellEnd"/>
      <w:r w:rsidR="00010EE9" w:rsidRPr="00010EE9">
        <w:rPr>
          <w:rFonts w:ascii="Times New Roman" w:hAnsi="Times New Roman" w:cs="Times New Roman"/>
          <w:sz w:val="24"/>
          <w:szCs w:val="24"/>
        </w:rPr>
        <w:t xml:space="preserve"> gasoline and diesel engines, locomotives, and heavy-duty diesel trucks.</w:t>
      </w:r>
    </w:p>
    <w:p w:rsidR="00394D60" w:rsidRPr="00010EE9" w:rsidRDefault="00394D60" w:rsidP="00151A18">
      <w:pPr>
        <w:rPr>
          <w:rFonts w:ascii="Times New Roman" w:hAnsi="Times New Roman" w:cs="Times New Roman"/>
          <w:sz w:val="24"/>
          <w:szCs w:val="24"/>
        </w:rPr>
      </w:pPr>
    </w:p>
    <w:p w:rsidR="00454E42" w:rsidRDefault="00454E42" w:rsidP="00151A18">
      <w:pPr>
        <w:rPr>
          <w:rFonts w:ascii="Times New Roman" w:hAnsi="Times New Roman" w:cs="Times New Roman"/>
          <w:sz w:val="24"/>
          <w:szCs w:val="24"/>
        </w:rPr>
      </w:pPr>
    </w:p>
    <w:p w:rsidR="00010EE9" w:rsidRDefault="00010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EE9" w:rsidRDefault="00454E42" w:rsidP="0045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E42">
        <w:rPr>
          <w:rFonts w:ascii="Times New Roman" w:hAnsi="Times New Roman" w:cs="Times New Roman"/>
          <w:sz w:val="24"/>
          <w:szCs w:val="24"/>
        </w:rPr>
        <w:lastRenderedPageBreak/>
        <w:t xml:space="preserve">Figure 1: </w:t>
      </w:r>
      <w:r w:rsidR="007A0B5C">
        <w:rPr>
          <w:rFonts w:ascii="Times New Roman" w:hAnsi="Times New Roman" w:cs="Times New Roman"/>
          <w:sz w:val="24"/>
          <w:szCs w:val="24"/>
        </w:rPr>
        <w:t>PM</w:t>
      </w:r>
      <w:r w:rsidR="007A0B5C" w:rsidRPr="007A0B5C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454E42">
        <w:rPr>
          <w:rFonts w:ascii="Times New Roman" w:hAnsi="Times New Roman" w:cs="Times New Roman"/>
          <w:sz w:val="24"/>
          <w:szCs w:val="24"/>
        </w:rPr>
        <w:t xml:space="preserve">Design Values in the District </w:t>
      </w:r>
      <w:proofErr w:type="gramStart"/>
      <w:r w:rsidRPr="00454E42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454E42">
        <w:rPr>
          <w:rFonts w:ascii="Times New Roman" w:hAnsi="Times New Roman" w:cs="Times New Roman"/>
          <w:sz w:val="24"/>
          <w:szCs w:val="24"/>
        </w:rPr>
        <w:t xml:space="preserve"> Time</w:t>
      </w:r>
      <w:r w:rsidR="0001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42" w:rsidRPr="00454E42" w:rsidRDefault="00010EE9" w:rsidP="00454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to the Annual and Daily NAAQS</w:t>
      </w:r>
    </w:p>
    <w:p w:rsidR="00454E42" w:rsidRPr="00A0737D" w:rsidRDefault="00454E42" w:rsidP="00454E4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3A9DC94" wp14:editId="580CF7D2">
            <wp:extent cx="5200651" cy="3619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0B5C" w:rsidRDefault="007A0B5C" w:rsidP="007A0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70636C" wp14:editId="449CBB2F">
            <wp:extent cx="5248275" cy="3524251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B5C" w:rsidRDefault="007A0B5C" w:rsidP="007A0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888" w:rsidRPr="00454E42" w:rsidRDefault="00E36CBF" w:rsidP="007A0B5C">
      <w:pPr>
        <w:rPr>
          <w:rFonts w:ascii="Times New Roman" w:hAnsi="Times New Roman" w:cs="Times New Roman"/>
          <w:sz w:val="24"/>
          <w:szCs w:val="24"/>
        </w:rPr>
      </w:pPr>
      <w:r w:rsidRPr="00454E42">
        <w:rPr>
          <w:rFonts w:ascii="Times New Roman" w:hAnsi="Times New Roman" w:cs="Times New Roman"/>
          <w:sz w:val="24"/>
          <w:szCs w:val="24"/>
        </w:rPr>
        <w:t xml:space="preserve">The trend is similar to design value trends in the </w:t>
      </w:r>
      <w:r w:rsidR="00394D60" w:rsidRPr="00454E42">
        <w:rPr>
          <w:rFonts w:ascii="Times New Roman" w:hAnsi="Times New Roman" w:cs="Times New Roman"/>
          <w:sz w:val="24"/>
          <w:szCs w:val="24"/>
        </w:rPr>
        <w:t xml:space="preserve">Washington </w:t>
      </w:r>
      <w:r w:rsidRPr="00454E42">
        <w:rPr>
          <w:rFonts w:ascii="Times New Roman" w:hAnsi="Times New Roman" w:cs="Times New Roman"/>
          <w:sz w:val="24"/>
          <w:szCs w:val="24"/>
        </w:rPr>
        <w:t xml:space="preserve">DC-MD-VA </w:t>
      </w:r>
      <w:r w:rsidR="00454E42" w:rsidRPr="00454E42">
        <w:rPr>
          <w:rFonts w:ascii="Times New Roman" w:hAnsi="Times New Roman" w:cs="Times New Roman"/>
          <w:sz w:val="24"/>
          <w:szCs w:val="24"/>
        </w:rPr>
        <w:t>maintenance</w:t>
      </w:r>
      <w:r w:rsidRPr="00454E42">
        <w:rPr>
          <w:rFonts w:ascii="Times New Roman" w:hAnsi="Times New Roman" w:cs="Times New Roman"/>
          <w:sz w:val="24"/>
          <w:szCs w:val="24"/>
        </w:rPr>
        <w:t xml:space="preserve"> area as a whole</w:t>
      </w:r>
      <w:r w:rsidR="00394D60" w:rsidRPr="00454E42">
        <w:rPr>
          <w:rFonts w:ascii="Times New Roman" w:hAnsi="Times New Roman" w:cs="Times New Roman"/>
          <w:sz w:val="24"/>
          <w:szCs w:val="24"/>
        </w:rPr>
        <w:t xml:space="preserve"> </w:t>
      </w:r>
      <w:r w:rsidR="007C2295" w:rsidRPr="00454E42">
        <w:rPr>
          <w:rFonts w:ascii="Times New Roman" w:hAnsi="Times New Roman" w:cs="Times New Roman"/>
          <w:sz w:val="24"/>
          <w:szCs w:val="24"/>
        </w:rPr>
        <w:t xml:space="preserve">(shown </w:t>
      </w:r>
      <w:r w:rsidR="00394D60" w:rsidRPr="00454E42">
        <w:rPr>
          <w:rFonts w:ascii="Times New Roman" w:hAnsi="Times New Roman" w:cs="Times New Roman"/>
          <w:sz w:val="24"/>
          <w:szCs w:val="24"/>
        </w:rPr>
        <w:t>in Figure 2</w:t>
      </w:r>
      <w:r w:rsidR="001363E7">
        <w:rPr>
          <w:rFonts w:ascii="Times New Roman" w:hAnsi="Times New Roman" w:cs="Times New Roman"/>
          <w:sz w:val="24"/>
          <w:szCs w:val="24"/>
        </w:rPr>
        <w:t>, which includes 2014 preliminary values</w:t>
      </w:r>
      <w:r w:rsidR="007C2295" w:rsidRPr="00454E42">
        <w:rPr>
          <w:rFonts w:ascii="Times New Roman" w:hAnsi="Times New Roman" w:cs="Times New Roman"/>
          <w:sz w:val="24"/>
          <w:szCs w:val="24"/>
        </w:rPr>
        <w:t>)</w:t>
      </w:r>
      <w:r w:rsidR="00394D60" w:rsidRPr="00454E42">
        <w:rPr>
          <w:rFonts w:ascii="Times New Roman" w:hAnsi="Times New Roman" w:cs="Times New Roman"/>
          <w:sz w:val="24"/>
          <w:szCs w:val="24"/>
        </w:rPr>
        <w:t>.</w:t>
      </w:r>
    </w:p>
    <w:p w:rsidR="00454E42" w:rsidRDefault="00454E42" w:rsidP="0042288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71AC" w:rsidRDefault="002C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653" w:rsidRDefault="00454E42" w:rsidP="0045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FF8">
        <w:rPr>
          <w:rFonts w:ascii="Times New Roman" w:hAnsi="Times New Roman" w:cs="Times New Roman"/>
          <w:sz w:val="24"/>
          <w:szCs w:val="24"/>
        </w:rPr>
        <w:lastRenderedPageBreak/>
        <w:t xml:space="preserve">Figure 2: Design Values in the Washington DC-MD-VA Area </w:t>
      </w:r>
      <w:proofErr w:type="gramStart"/>
      <w:r w:rsidRPr="00D54FF8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D54FF8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647653" w:rsidRDefault="00647653" w:rsidP="00454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56B0D" wp14:editId="5BA8AB8F">
            <wp:simplePos x="0" y="0"/>
            <wp:positionH relativeFrom="column">
              <wp:align>center</wp:align>
            </wp:positionH>
            <wp:positionV relativeFrom="paragraph">
              <wp:posOffset>177165</wp:posOffset>
            </wp:positionV>
            <wp:extent cx="502793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24" y="21491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334" cy="378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1AC">
        <w:rPr>
          <w:rFonts w:ascii="Times New Roman" w:hAnsi="Times New Roman" w:cs="Times New Roman"/>
          <w:sz w:val="24"/>
          <w:szCs w:val="24"/>
        </w:rPr>
        <w:t>Compared to the Annual and Daily NAAQS</w:t>
      </w:r>
    </w:p>
    <w:p w:rsidR="00010EE9" w:rsidRPr="00D54FF8" w:rsidRDefault="00010EE9" w:rsidP="00454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E42" w:rsidRDefault="00454E42" w:rsidP="0042288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D1984" wp14:editId="4A588796">
            <wp:simplePos x="0" y="0"/>
            <wp:positionH relativeFrom="column">
              <wp:align>center</wp:align>
            </wp:positionH>
            <wp:positionV relativeFrom="paragraph">
              <wp:posOffset>48895</wp:posOffset>
            </wp:positionV>
            <wp:extent cx="50272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526" y="21491"/>
                <wp:lineTo x="215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676" cy="379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7653" w:rsidRDefault="00647653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4E42" w:rsidRDefault="00454E42" w:rsidP="00454E4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4E42">
        <w:rPr>
          <w:rFonts w:ascii="Times New Roman" w:hAnsi="Times New Roman" w:cs="Times New Roman"/>
          <w:i/>
          <w:sz w:val="20"/>
          <w:szCs w:val="20"/>
        </w:rPr>
        <w:t>Source:  Kumar, Sunil</w:t>
      </w:r>
      <w:r w:rsidR="00647653">
        <w:rPr>
          <w:rFonts w:ascii="Times New Roman" w:hAnsi="Times New Roman" w:cs="Times New Roman"/>
          <w:i/>
          <w:sz w:val="20"/>
          <w:szCs w:val="20"/>
        </w:rPr>
        <w:t xml:space="preserve"> for MWAQC</w:t>
      </w:r>
      <w:r>
        <w:rPr>
          <w:rFonts w:ascii="Times New Roman" w:hAnsi="Times New Roman" w:cs="Times New Roman"/>
          <w:i/>
          <w:sz w:val="20"/>
          <w:szCs w:val="20"/>
        </w:rPr>
        <w:t xml:space="preserve"> Meeting</w:t>
      </w:r>
      <w:r w:rsidRPr="00454E42">
        <w:rPr>
          <w:rFonts w:ascii="Times New Roman" w:hAnsi="Times New Roman" w:cs="Times New Roman"/>
          <w:i/>
          <w:sz w:val="20"/>
          <w:szCs w:val="20"/>
        </w:rPr>
        <w:t>. O</w:t>
      </w:r>
      <w:r w:rsidR="00647653">
        <w:rPr>
          <w:rFonts w:ascii="Times New Roman" w:hAnsi="Times New Roman" w:cs="Times New Roman"/>
          <w:i/>
          <w:sz w:val="20"/>
          <w:szCs w:val="20"/>
        </w:rPr>
        <w:t>zone Season Summary (September 29</w:t>
      </w:r>
      <w:r w:rsidRPr="00454E42">
        <w:rPr>
          <w:rFonts w:ascii="Times New Roman" w:hAnsi="Times New Roman" w:cs="Times New Roman"/>
          <w:i/>
          <w:sz w:val="20"/>
          <w:szCs w:val="20"/>
        </w:rPr>
        <w:t xml:space="preserve">, 2015), </w:t>
      </w:r>
    </w:p>
    <w:p w:rsidR="00E36CBF" w:rsidRDefault="00454E42" w:rsidP="00E36CB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54E42">
        <w:rPr>
          <w:rFonts w:ascii="Times New Roman" w:hAnsi="Times New Roman" w:cs="Times New Roman"/>
          <w:i/>
          <w:sz w:val="20"/>
          <w:szCs w:val="20"/>
        </w:rPr>
        <w:t>accessed</w:t>
      </w:r>
      <w:proofErr w:type="gramEnd"/>
      <w:r w:rsidRPr="00454E42">
        <w:rPr>
          <w:rFonts w:ascii="Times New Roman" w:hAnsi="Times New Roman" w:cs="Times New Roman"/>
          <w:i/>
          <w:sz w:val="20"/>
          <w:szCs w:val="20"/>
        </w:rPr>
        <w:t xml:space="preserve"> at: </w:t>
      </w:r>
      <w:hyperlink r:id="rId13" w:history="1">
        <w:r w:rsidR="00647653" w:rsidRPr="002F36D3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http://www.mwcog.org/environment/committee/committee/documents.asp?COMMITTEE_ID=14</w:t>
        </w:r>
      </w:hyperlink>
      <w:r w:rsidR="0064765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41FE4" w:rsidRPr="00A0737D" w:rsidRDefault="00741FE4" w:rsidP="00E36CB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EE9" w:rsidRDefault="00010E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51A18" w:rsidRPr="00DA5147" w:rsidRDefault="00647653" w:rsidP="003154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Emissions Reduction</w:t>
      </w:r>
      <w:r w:rsidR="007B1E4A" w:rsidRPr="00DA5147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54FF8" w:rsidRPr="00DA5147" w:rsidRDefault="00D54FF8" w:rsidP="00315436">
      <w:pPr>
        <w:rPr>
          <w:rFonts w:ascii="Times New Roman" w:hAnsi="Times New Roman" w:cs="Times New Roman"/>
          <w:sz w:val="24"/>
          <w:szCs w:val="24"/>
        </w:rPr>
      </w:pPr>
    </w:p>
    <w:p w:rsidR="00E316B0" w:rsidRPr="00E316B0" w:rsidRDefault="00E316B0" w:rsidP="00E316B0">
      <w:pPr>
        <w:rPr>
          <w:rFonts w:ascii="Times New Roman" w:hAnsi="Times New Roman" w:cs="Times New Roman"/>
          <w:sz w:val="24"/>
          <w:szCs w:val="24"/>
        </w:rPr>
      </w:pPr>
      <w:r w:rsidRPr="00E316B0">
        <w:rPr>
          <w:rFonts w:ascii="Times New Roman" w:hAnsi="Times New Roman" w:cs="Times New Roman"/>
          <w:sz w:val="24"/>
          <w:szCs w:val="24"/>
        </w:rPr>
        <w:t>PM emissions are estimated as PM-primary, which are particulates that are directly emitted by a source; PM-filterable, which are emissions that are collectable using a filter; and PM-condensable, which are formed after they are emitted.  Filterable plus condensable emissions equate to PM-primary emissions, so PM</w:t>
      </w:r>
      <w:r w:rsidRPr="00E316B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E316B0">
        <w:rPr>
          <w:rFonts w:ascii="Times New Roman" w:hAnsi="Times New Roman" w:cs="Times New Roman"/>
          <w:sz w:val="24"/>
          <w:szCs w:val="24"/>
        </w:rPr>
        <w:t>-PRI emissions are reviewed below.</w:t>
      </w:r>
    </w:p>
    <w:p w:rsidR="00E316B0" w:rsidRDefault="00E316B0" w:rsidP="00E316B0">
      <w:pPr>
        <w:rPr>
          <w:rFonts w:ascii="Calibri" w:hAnsi="Calibri" w:cs="Times New Roman"/>
          <w:szCs w:val="24"/>
        </w:rPr>
      </w:pPr>
    </w:p>
    <w:p w:rsidR="00C14CC2" w:rsidRPr="00DA5147" w:rsidRDefault="00575D80" w:rsidP="00C14CC2">
      <w:pPr>
        <w:rPr>
          <w:rFonts w:ascii="Times New Roman" w:hAnsi="Times New Roman" w:cs="Times New Roman"/>
          <w:sz w:val="24"/>
          <w:szCs w:val="24"/>
        </w:rPr>
      </w:pPr>
      <w:r w:rsidRPr="00DA5147">
        <w:rPr>
          <w:rFonts w:ascii="Times New Roman" w:hAnsi="Times New Roman" w:cs="Times New Roman"/>
          <w:sz w:val="24"/>
          <w:szCs w:val="24"/>
        </w:rPr>
        <w:t xml:space="preserve">Emissions of </w:t>
      </w:r>
      <w:r w:rsidR="00DA5147" w:rsidRPr="00DA5147">
        <w:rPr>
          <w:rFonts w:ascii="Times New Roman" w:hAnsi="Times New Roman" w:cs="Times New Roman"/>
          <w:sz w:val="24"/>
          <w:szCs w:val="24"/>
        </w:rPr>
        <w:t>PM</w:t>
      </w:r>
      <w:r w:rsidR="00DA5147" w:rsidRPr="00DE4144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E316B0" w:rsidRPr="00E316B0">
        <w:rPr>
          <w:rFonts w:ascii="Times New Roman" w:hAnsi="Times New Roman" w:cs="Times New Roman"/>
          <w:sz w:val="24"/>
          <w:szCs w:val="24"/>
        </w:rPr>
        <w:t>-PRI</w:t>
      </w:r>
      <w:r w:rsidR="00DA5147" w:rsidRPr="00DE41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A5147" w:rsidRPr="00DA5147">
        <w:rPr>
          <w:rFonts w:ascii="Times New Roman" w:hAnsi="Times New Roman" w:cs="Times New Roman"/>
          <w:sz w:val="24"/>
          <w:szCs w:val="24"/>
        </w:rPr>
        <w:t>in the District primarily come from the area source sector.</w:t>
      </w:r>
    </w:p>
    <w:p w:rsidR="00C14CC2" w:rsidRDefault="00C14CC2" w:rsidP="003154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144" w:rsidRPr="00386D70" w:rsidRDefault="00DE4144" w:rsidP="00DE41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6D70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386D70">
        <w:rPr>
          <w:rFonts w:ascii="Times New Roman" w:hAnsi="Times New Roman" w:cs="Times New Roman"/>
          <w:sz w:val="24"/>
          <w:szCs w:val="24"/>
        </w:rPr>
        <w:t xml:space="preserve">  PM</w:t>
      </w:r>
      <w:r w:rsidRPr="00386D7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386D70">
        <w:rPr>
          <w:rFonts w:ascii="Times New Roman" w:hAnsi="Times New Roman" w:cs="Times New Roman"/>
          <w:sz w:val="24"/>
          <w:szCs w:val="24"/>
        </w:rPr>
        <w:t>-PRI</w:t>
      </w:r>
      <w:r w:rsidRPr="00386D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86D70">
        <w:rPr>
          <w:rFonts w:ascii="Times New Roman" w:hAnsi="Times New Roman" w:cs="Times New Roman"/>
          <w:sz w:val="24"/>
          <w:szCs w:val="24"/>
        </w:rPr>
        <w:t>Emissions by Sector</w:t>
      </w:r>
    </w:p>
    <w:p w:rsidR="00DE4144" w:rsidRPr="00A0737D" w:rsidRDefault="00DE4144" w:rsidP="00DE414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F55BCE2" wp14:editId="273C17B9">
            <wp:extent cx="3108960" cy="3175635"/>
            <wp:effectExtent l="0" t="0" r="15240" b="247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2A7D" w:rsidRDefault="00142A7D">
      <w:pPr>
        <w:rPr>
          <w:rFonts w:ascii="Times New Roman" w:hAnsi="Times New Roman" w:cs="Times New Roman"/>
          <w:i/>
          <w:sz w:val="24"/>
          <w:szCs w:val="24"/>
        </w:rPr>
      </w:pPr>
    </w:p>
    <w:p w:rsidR="00C828C2" w:rsidRDefault="00151A18">
      <w:pPr>
        <w:rPr>
          <w:rFonts w:ascii="Times New Roman" w:hAnsi="Times New Roman" w:cs="Times New Roman"/>
          <w:sz w:val="24"/>
          <w:szCs w:val="24"/>
        </w:rPr>
      </w:pPr>
      <w:r w:rsidRPr="00A0737D">
        <w:rPr>
          <w:rFonts w:ascii="Times New Roman" w:hAnsi="Times New Roman" w:cs="Times New Roman"/>
          <w:i/>
          <w:sz w:val="24"/>
          <w:szCs w:val="24"/>
        </w:rPr>
        <w:t>EGUs</w:t>
      </w:r>
      <w:r w:rsidR="00386D70">
        <w:rPr>
          <w:rFonts w:ascii="Times New Roman" w:hAnsi="Times New Roman" w:cs="Times New Roman"/>
          <w:i/>
          <w:sz w:val="24"/>
          <w:szCs w:val="24"/>
        </w:rPr>
        <w:t xml:space="preserve"> &amp; Non-EGUs</w:t>
      </w:r>
      <w:r w:rsidRPr="00A0737D">
        <w:rPr>
          <w:rFonts w:ascii="Times New Roman" w:hAnsi="Times New Roman" w:cs="Times New Roman"/>
          <w:i/>
          <w:sz w:val="24"/>
          <w:szCs w:val="24"/>
        </w:rPr>
        <w:t>:</w:t>
      </w:r>
      <w:r w:rsidR="00C14CC2" w:rsidRPr="00A073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4383A" w:rsidRPr="00386D70">
        <w:rPr>
          <w:rFonts w:ascii="Times New Roman" w:hAnsi="Times New Roman" w:cs="Times New Roman"/>
          <w:sz w:val="24"/>
          <w:szCs w:val="24"/>
        </w:rPr>
        <w:t xml:space="preserve">In general, point sources in the District contribute a small amount of </w:t>
      </w:r>
      <w:r w:rsidR="00E4383A">
        <w:rPr>
          <w:rFonts w:ascii="Times New Roman" w:hAnsi="Times New Roman" w:cs="Times New Roman"/>
          <w:sz w:val="24"/>
          <w:szCs w:val="24"/>
        </w:rPr>
        <w:t>PM</w:t>
      </w:r>
      <w:r w:rsidR="00E4383A" w:rsidRPr="00010EE9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E4383A" w:rsidRPr="00386D70">
        <w:rPr>
          <w:rFonts w:ascii="Times New Roman" w:hAnsi="Times New Roman" w:cs="Times New Roman"/>
          <w:sz w:val="24"/>
          <w:szCs w:val="24"/>
        </w:rPr>
        <w:t xml:space="preserve">compared to other sectors.  </w:t>
      </w:r>
      <w:r w:rsidR="00E4383A">
        <w:rPr>
          <w:rFonts w:ascii="Times New Roman" w:hAnsi="Times New Roman" w:cs="Times New Roman"/>
          <w:sz w:val="24"/>
          <w:szCs w:val="24"/>
        </w:rPr>
        <w:t>There</w:t>
      </w:r>
      <w:r w:rsidR="00DE4144">
        <w:rPr>
          <w:rFonts w:ascii="Times New Roman" w:hAnsi="Times New Roman" w:cs="Times New Roman"/>
          <w:sz w:val="24"/>
          <w:szCs w:val="24"/>
        </w:rPr>
        <w:t xml:space="preserve"> </w:t>
      </w:r>
      <w:r w:rsidR="00291780" w:rsidRPr="00E4383A">
        <w:rPr>
          <w:rFonts w:ascii="Times New Roman" w:hAnsi="Times New Roman" w:cs="Times New Roman"/>
          <w:sz w:val="24"/>
          <w:szCs w:val="24"/>
        </w:rPr>
        <w:t xml:space="preserve">are no </w:t>
      </w:r>
      <w:r w:rsidR="00E4383A">
        <w:rPr>
          <w:rFonts w:ascii="Times New Roman" w:hAnsi="Times New Roman" w:cs="Times New Roman"/>
          <w:sz w:val="24"/>
          <w:szCs w:val="24"/>
        </w:rPr>
        <w:t>e</w:t>
      </w:r>
      <w:r w:rsidR="00E4383A" w:rsidRPr="00A0737D">
        <w:rPr>
          <w:rFonts w:ascii="Times New Roman" w:hAnsi="Times New Roman" w:cs="Times New Roman"/>
          <w:sz w:val="24"/>
          <w:szCs w:val="24"/>
        </w:rPr>
        <w:t>lectric generating units (EGU)</w:t>
      </w:r>
      <w:r w:rsidR="00291780" w:rsidRPr="00E4383A">
        <w:rPr>
          <w:rFonts w:ascii="Times New Roman" w:hAnsi="Times New Roman" w:cs="Times New Roman"/>
          <w:sz w:val="24"/>
          <w:szCs w:val="24"/>
        </w:rPr>
        <w:t xml:space="preserve"> or other </w:t>
      </w:r>
      <w:r w:rsidR="008F4FAB" w:rsidRPr="00E4383A">
        <w:rPr>
          <w:rFonts w:ascii="Times New Roman" w:hAnsi="Times New Roman" w:cs="Times New Roman"/>
          <w:sz w:val="24"/>
          <w:szCs w:val="24"/>
        </w:rPr>
        <w:t xml:space="preserve">large </w:t>
      </w:r>
      <w:r w:rsidR="00291780" w:rsidRPr="00E4383A">
        <w:rPr>
          <w:rFonts w:ascii="Times New Roman" w:hAnsi="Times New Roman" w:cs="Times New Roman"/>
          <w:sz w:val="24"/>
          <w:szCs w:val="24"/>
        </w:rPr>
        <w:t xml:space="preserve">industrial sources of </w:t>
      </w:r>
      <w:r w:rsidR="00A0737D" w:rsidRPr="00E4383A">
        <w:rPr>
          <w:rFonts w:ascii="Times New Roman" w:hAnsi="Times New Roman" w:cs="Times New Roman"/>
          <w:sz w:val="24"/>
          <w:szCs w:val="24"/>
        </w:rPr>
        <w:t>PM</w:t>
      </w:r>
      <w:r w:rsidR="00A0737D" w:rsidRPr="00E4383A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291780" w:rsidRPr="00E4383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91780" w:rsidRPr="00E4383A">
        <w:rPr>
          <w:rFonts w:ascii="Times New Roman" w:hAnsi="Times New Roman" w:cs="Times New Roman"/>
          <w:sz w:val="24"/>
          <w:szCs w:val="24"/>
        </w:rPr>
        <w:t xml:space="preserve">emissions.  </w:t>
      </w:r>
      <w:r w:rsidR="00315436" w:rsidRPr="00E4383A">
        <w:rPr>
          <w:rFonts w:ascii="Times New Roman" w:hAnsi="Times New Roman" w:cs="Times New Roman"/>
          <w:sz w:val="24"/>
          <w:szCs w:val="24"/>
        </w:rPr>
        <w:t>The Dis</w:t>
      </w:r>
      <w:r w:rsidR="00A50684" w:rsidRPr="00E4383A">
        <w:rPr>
          <w:rFonts w:ascii="Times New Roman" w:hAnsi="Times New Roman" w:cs="Times New Roman"/>
          <w:sz w:val="24"/>
          <w:szCs w:val="24"/>
        </w:rPr>
        <w:t xml:space="preserve">trict’s </w:t>
      </w:r>
      <w:r w:rsidR="00A50684" w:rsidRPr="00A0737D">
        <w:rPr>
          <w:rFonts w:ascii="Times New Roman" w:hAnsi="Times New Roman" w:cs="Times New Roman"/>
          <w:sz w:val="24"/>
          <w:szCs w:val="24"/>
        </w:rPr>
        <w:t>last remaining EGUs</w:t>
      </w:r>
      <w:r w:rsidR="00315436" w:rsidRPr="00A0737D">
        <w:rPr>
          <w:rFonts w:ascii="Times New Roman" w:hAnsi="Times New Roman" w:cs="Times New Roman"/>
          <w:sz w:val="24"/>
          <w:szCs w:val="24"/>
        </w:rPr>
        <w:t xml:space="preserve"> were </w:t>
      </w:r>
      <w:r w:rsidR="008F4FAB" w:rsidRPr="00A0737D">
        <w:rPr>
          <w:rFonts w:ascii="Times New Roman" w:hAnsi="Times New Roman" w:cs="Times New Roman"/>
          <w:sz w:val="24"/>
          <w:szCs w:val="24"/>
        </w:rPr>
        <w:t>decommissioned</w:t>
      </w:r>
      <w:r w:rsidR="00315436" w:rsidRPr="00A0737D">
        <w:rPr>
          <w:rFonts w:ascii="Times New Roman" w:hAnsi="Times New Roman" w:cs="Times New Roman"/>
          <w:sz w:val="24"/>
          <w:szCs w:val="24"/>
        </w:rPr>
        <w:t xml:space="preserve"> in 2012, in part to meet permit requirements incorporated into the District’s Regional Haze </w:t>
      </w:r>
      <w:r w:rsidR="00010EE9">
        <w:rPr>
          <w:rFonts w:ascii="Times New Roman" w:hAnsi="Times New Roman" w:cs="Times New Roman"/>
          <w:sz w:val="24"/>
          <w:szCs w:val="24"/>
        </w:rPr>
        <w:t>SIP</w:t>
      </w:r>
      <w:r w:rsidR="00315436" w:rsidRPr="00A0737D">
        <w:rPr>
          <w:rFonts w:ascii="Times New Roman" w:hAnsi="Times New Roman" w:cs="Times New Roman"/>
          <w:sz w:val="24"/>
          <w:szCs w:val="24"/>
        </w:rPr>
        <w:t xml:space="preserve"> (</w:t>
      </w:r>
      <w:r w:rsidR="00315436" w:rsidRPr="00A0737D">
        <w:rPr>
          <w:rFonts w:ascii="Times New Roman" w:hAnsi="Times New Roman" w:cs="Times New Roman"/>
          <w:color w:val="000000"/>
          <w:sz w:val="24"/>
          <w:szCs w:val="24"/>
        </w:rPr>
        <w:t>77 Fed. Reg. 5191</w:t>
      </w:r>
      <w:r w:rsidR="00010E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7D2B" w:rsidRPr="00A07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D2B" w:rsidRPr="00A0737D">
        <w:rPr>
          <w:rFonts w:ascii="Times New Roman" w:hAnsi="Times New Roman" w:cs="Times New Roman"/>
          <w:sz w:val="24"/>
          <w:szCs w:val="24"/>
        </w:rPr>
        <w:t xml:space="preserve">codified at 40 C.F.R. </w:t>
      </w:r>
      <w:r w:rsidR="003A7D2B" w:rsidRPr="00A0737D">
        <w:rPr>
          <w:rFonts w:ascii="Times New Roman" w:hAnsi="Times New Roman" w:cs="Times New Roman"/>
          <w:color w:val="000000"/>
          <w:sz w:val="24"/>
          <w:szCs w:val="24"/>
        </w:rPr>
        <w:t>§ 52.470(e</w:t>
      </w:r>
      <w:r w:rsidR="00315436" w:rsidRPr="00A073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7D2B" w:rsidRPr="00A073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5436" w:rsidRPr="00A0737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1693E" w:rsidRPr="00E316B0" w:rsidRDefault="0041693E">
      <w:pPr>
        <w:rPr>
          <w:rFonts w:ascii="Times New Roman" w:hAnsi="Times New Roman" w:cs="Times New Roman"/>
          <w:sz w:val="24"/>
          <w:szCs w:val="24"/>
        </w:rPr>
      </w:pPr>
    </w:p>
    <w:p w:rsidR="00E316B0" w:rsidRPr="00142A7D" w:rsidRDefault="00E316B0" w:rsidP="00E316B0">
      <w:pPr>
        <w:rPr>
          <w:rFonts w:ascii="Times New Roman" w:hAnsi="Times New Roman" w:cs="Times New Roman"/>
          <w:sz w:val="24"/>
          <w:szCs w:val="24"/>
        </w:rPr>
      </w:pPr>
      <w:r w:rsidRPr="0041693E">
        <w:rPr>
          <w:rFonts w:ascii="Times New Roman" w:hAnsi="Times New Roman" w:cs="Times New Roman"/>
          <w:sz w:val="24"/>
          <w:szCs w:val="24"/>
        </w:rPr>
        <w:t>As indicated in Figure 4, t</w:t>
      </w:r>
      <w:r>
        <w:rPr>
          <w:rFonts w:ascii="Times New Roman" w:hAnsi="Times New Roman" w:cs="Times New Roman"/>
          <w:sz w:val="24"/>
          <w:szCs w:val="24"/>
        </w:rPr>
        <w:t>he main source</w:t>
      </w:r>
      <w:r w:rsidRPr="0041693E">
        <w:rPr>
          <w:rFonts w:ascii="Times New Roman" w:hAnsi="Times New Roman" w:cs="Times New Roman"/>
          <w:sz w:val="24"/>
          <w:szCs w:val="24"/>
        </w:rPr>
        <w:t xml:space="preserve"> of area source PM</w:t>
      </w:r>
      <w:r w:rsidRPr="0041693E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41693E">
        <w:rPr>
          <w:rFonts w:ascii="Times New Roman" w:hAnsi="Times New Roman" w:cs="Times New Roman"/>
          <w:sz w:val="24"/>
          <w:szCs w:val="24"/>
        </w:rPr>
        <w:t>emissions is fuel combustion</w:t>
      </w:r>
      <w:r w:rsidR="008F2753">
        <w:rPr>
          <w:rFonts w:ascii="Times New Roman" w:hAnsi="Times New Roman" w:cs="Times New Roman"/>
          <w:sz w:val="24"/>
          <w:szCs w:val="24"/>
        </w:rPr>
        <w:t xml:space="preserve"> (in purple)</w:t>
      </w:r>
      <w:r w:rsidRPr="0041693E">
        <w:rPr>
          <w:rFonts w:ascii="Times New Roman" w:hAnsi="Times New Roman" w:cs="Times New Roman"/>
          <w:sz w:val="24"/>
          <w:szCs w:val="24"/>
        </w:rPr>
        <w:t>.  The largest sources of course PM (PM</w:t>
      </w:r>
      <w:r w:rsidRPr="00416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1693E">
        <w:rPr>
          <w:rFonts w:ascii="Times New Roman" w:hAnsi="Times New Roman" w:cs="Times New Roman"/>
          <w:sz w:val="24"/>
          <w:szCs w:val="24"/>
        </w:rPr>
        <w:t>) emissions</w:t>
      </w:r>
      <w:r w:rsidR="00E4383A">
        <w:rPr>
          <w:rFonts w:ascii="Times New Roman" w:hAnsi="Times New Roman" w:cs="Times New Roman"/>
          <w:sz w:val="24"/>
          <w:szCs w:val="24"/>
        </w:rPr>
        <w:t>, which are not as relevant for the purposes of the fine PM NAAQS,</w:t>
      </w:r>
      <w:r w:rsidRPr="0041693E">
        <w:rPr>
          <w:rFonts w:ascii="Times New Roman" w:hAnsi="Times New Roman" w:cs="Times New Roman"/>
          <w:sz w:val="24"/>
          <w:szCs w:val="24"/>
        </w:rPr>
        <w:t xml:space="preserve"> are construction and road dust.</w:t>
      </w:r>
      <w:r w:rsidR="00E4383A">
        <w:rPr>
          <w:rFonts w:ascii="Times New Roman" w:hAnsi="Times New Roman" w:cs="Times New Roman"/>
          <w:sz w:val="24"/>
          <w:szCs w:val="24"/>
        </w:rPr>
        <w:t>)</w:t>
      </w:r>
    </w:p>
    <w:p w:rsidR="00E316B0" w:rsidRPr="00E316B0" w:rsidRDefault="00E316B0">
      <w:pPr>
        <w:rPr>
          <w:rFonts w:ascii="Times New Roman" w:hAnsi="Times New Roman" w:cs="Times New Roman"/>
          <w:sz w:val="24"/>
          <w:szCs w:val="24"/>
        </w:rPr>
      </w:pPr>
    </w:p>
    <w:p w:rsidR="00D54FF8" w:rsidRDefault="00741FE4" w:rsidP="00D54FF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41FE4">
        <w:rPr>
          <w:rFonts w:ascii="Times New Roman" w:hAnsi="Times New Roman" w:cs="Times New Roman"/>
          <w:sz w:val="24"/>
          <w:szCs w:val="24"/>
        </w:rPr>
        <w:lastRenderedPageBreak/>
        <w:t>Figure 4.</w:t>
      </w:r>
      <w:proofErr w:type="gramEnd"/>
      <w:r w:rsidRPr="00741FE4">
        <w:rPr>
          <w:rFonts w:ascii="Times New Roman" w:hAnsi="Times New Roman" w:cs="Times New Roman"/>
          <w:sz w:val="24"/>
          <w:szCs w:val="24"/>
        </w:rPr>
        <w:t xml:space="preserve">  Area Source Emissions of PM</w:t>
      </w:r>
      <w:r>
        <w:rPr>
          <w:rFonts w:ascii="Times New Roman" w:hAnsi="Times New Roman" w:cs="Times New Roman"/>
          <w:sz w:val="24"/>
          <w:szCs w:val="24"/>
        </w:rPr>
        <w:t xml:space="preserve"> in the District</w:t>
      </w:r>
      <w:r w:rsidR="00D54FF8">
        <w:rPr>
          <w:noProof/>
        </w:rPr>
        <w:drawing>
          <wp:inline distT="0" distB="0" distL="0" distR="0" wp14:anchorId="5D3EC6CA" wp14:editId="4C5D13AA">
            <wp:extent cx="4495800" cy="27381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73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3E" w:rsidRDefault="0041693E" w:rsidP="0008730F">
      <w:pPr>
        <w:rPr>
          <w:rFonts w:ascii="Times New Roman" w:hAnsi="Times New Roman" w:cs="Times New Roman"/>
          <w:sz w:val="24"/>
          <w:szCs w:val="24"/>
        </w:rPr>
      </w:pPr>
    </w:p>
    <w:p w:rsidR="00A75141" w:rsidRPr="00816396" w:rsidRDefault="008F2753" w:rsidP="0008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 shows that w</w:t>
      </w:r>
      <w:r w:rsidR="00A75141" w:rsidRPr="00816396">
        <w:rPr>
          <w:rFonts w:ascii="Times New Roman" w:hAnsi="Times New Roman" w:cs="Times New Roman"/>
          <w:sz w:val="24"/>
          <w:szCs w:val="24"/>
        </w:rPr>
        <w:t>ithin the</w:t>
      </w:r>
      <w:r w:rsidR="00E4383A">
        <w:rPr>
          <w:rFonts w:ascii="Times New Roman" w:hAnsi="Times New Roman" w:cs="Times New Roman"/>
          <w:sz w:val="24"/>
          <w:szCs w:val="24"/>
        </w:rPr>
        <w:t xml:space="preserve"> area source</w:t>
      </w:r>
      <w:r w:rsidR="00A75141" w:rsidRPr="00816396">
        <w:rPr>
          <w:rFonts w:ascii="Times New Roman" w:hAnsi="Times New Roman" w:cs="Times New Roman"/>
          <w:sz w:val="24"/>
          <w:szCs w:val="24"/>
        </w:rPr>
        <w:t xml:space="preserve"> fuel combustion category, </w:t>
      </w:r>
      <w:r w:rsidR="003A07DF" w:rsidRPr="00816396">
        <w:rPr>
          <w:rFonts w:ascii="Times New Roman" w:hAnsi="Times New Roman" w:cs="Times New Roman"/>
          <w:sz w:val="24"/>
          <w:szCs w:val="24"/>
        </w:rPr>
        <w:t>the</w:t>
      </w:r>
      <w:r w:rsidR="0041693E" w:rsidRPr="00816396">
        <w:rPr>
          <w:rFonts w:ascii="Times New Roman" w:hAnsi="Times New Roman" w:cs="Times New Roman"/>
          <w:sz w:val="24"/>
          <w:szCs w:val="24"/>
        </w:rPr>
        <w:t>re was a</w:t>
      </w:r>
      <w:r w:rsidR="003A07DF" w:rsidRPr="00816396">
        <w:rPr>
          <w:rFonts w:ascii="Times New Roman" w:hAnsi="Times New Roman" w:cs="Times New Roman"/>
          <w:sz w:val="24"/>
          <w:szCs w:val="24"/>
        </w:rPr>
        <w:t xml:space="preserve"> large uptick in residential wood combustion (RWC) emissions </w:t>
      </w:r>
      <w:r w:rsidR="0041693E" w:rsidRPr="00816396">
        <w:rPr>
          <w:rFonts w:ascii="Times New Roman" w:hAnsi="Times New Roman" w:cs="Times New Roman"/>
          <w:sz w:val="24"/>
          <w:szCs w:val="24"/>
        </w:rPr>
        <w:t>in the 2008 National Emissions Inventory for the District</w:t>
      </w:r>
      <w:r>
        <w:rPr>
          <w:rFonts w:ascii="Times New Roman" w:hAnsi="Times New Roman" w:cs="Times New Roman"/>
          <w:sz w:val="24"/>
          <w:szCs w:val="24"/>
        </w:rPr>
        <w:t>.  This was</w:t>
      </w:r>
      <w:r w:rsidR="003A07DF" w:rsidRPr="00816396">
        <w:rPr>
          <w:rFonts w:ascii="Times New Roman" w:hAnsi="Times New Roman" w:cs="Times New Roman"/>
          <w:sz w:val="24"/>
          <w:szCs w:val="24"/>
        </w:rPr>
        <w:t xml:space="preserve"> due to changes in the calculation methodology</w:t>
      </w:r>
      <w:r>
        <w:rPr>
          <w:rFonts w:ascii="Times New Roman" w:hAnsi="Times New Roman" w:cs="Times New Roman"/>
          <w:sz w:val="24"/>
          <w:szCs w:val="24"/>
        </w:rPr>
        <w:t xml:space="preserve"> and is </w:t>
      </w:r>
      <w:r w:rsidRPr="00816396">
        <w:rPr>
          <w:rFonts w:ascii="Times New Roman" w:hAnsi="Times New Roman" w:cs="Times New Roman"/>
          <w:sz w:val="24"/>
          <w:szCs w:val="24"/>
        </w:rPr>
        <w:t>not representative of actual emissions increases</w:t>
      </w:r>
      <w:r w:rsidR="003A07DF" w:rsidRPr="00816396">
        <w:rPr>
          <w:rFonts w:ascii="Times New Roman" w:hAnsi="Times New Roman" w:cs="Times New Roman"/>
          <w:sz w:val="24"/>
          <w:szCs w:val="24"/>
        </w:rPr>
        <w:t>.</w:t>
      </w:r>
      <w:r w:rsidR="0041693E" w:rsidRPr="00816396">
        <w:rPr>
          <w:rFonts w:ascii="Times New Roman" w:hAnsi="Times New Roman" w:cs="Times New Roman"/>
          <w:sz w:val="24"/>
          <w:szCs w:val="24"/>
        </w:rPr>
        <w:t xml:space="preserve"> </w:t>
      </w:r>
      <w:r w:rsidR="003A07DF" w:rsidRPr="0081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DF" w:rsidRDefault="003A07DF" w:rsidP="0008730F">
      <w:pPr>
        <w:rPr>
          <w:rFonts w:ascii="Times New Roman" w:hAnsi="Times New Roman" w:cs="Times New Roman"/>
          <w:sz w:val="24"/>
          <w:szCs w:val="24"/>
        </w:rPr>
      </w:pPr>
    </w:p>
    <w:p w:rsidR="003A07DF" w:rsidRDefault="003A07DF" w:rsidP="003A07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Fuel Combustion Emissions of PM</w:t>
      </w:r>
      <w:r w:rsidRPr="003A07DF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E316B0" w:rsidRPr="00E316B0">
        <w:rPr>
          <w:rFonts w:ascii="Times New Roman" w:hAnsi="Times New Roman" w:cs="Times New Roman"/>
          <w:sz w:val="24"/>
          <w:szCs w:val="24"/>
        </w:rPr>
        <w:t>-PRI</w:t>
      </w:r>
      <w:r w:rsidRPr="003A07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District</w:t>
      </w:r>
    </w:p>
    <w:p w:rsidR="003A07DF" w:rsidRPr="00A75141" w:rsidRDefault="003A07DF" w:rsidP="003A0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C60F55" wp14:editId="3B2D3673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3A07DF" w:rsidRDefault="003A07DF" w:rsidP="0008730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7F8" w:rsidRPr="00DC3F71" w:rsidRDefault="001537F8" w:rsidP="0008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commercial/institutional and residential sectors (not related to RWC) are the dominant </w:t>
      </w:r>
      <w:r w:rsidR="002C71AC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>source sectors</w:t>
      </w:r>
      <w:r w:rsidR="002C71AC">
        <w:rPr>
          <w:rFonts w:ascii="Times New Roman" w:hAnsi="Times New Roman" w:cs="Times New Roman"/>
          <w:sz w:val="24"/>
          <w:szCs w:val="24"/>
        </w:rPr>
        <w:t>.  PM</w:t>
      </w:r>
      <w:r w:rsidR="002C71AC" w:rsidRPr="002C71AC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2C71AC">
        <w:rPr>
          <w:rFonts w:ascii="Times New Roman" w:hAnsi="Times New Roman" w:cs="Times New Roman"/>
          <w:sz w:val="24"/>
          <w:szCs w:val="24"/>
        </w:rPr>
        <w:t>e</w:t>
      </w:r>
      <w:r w:rsidR="00592979">
        <w:rPr>
          <w:rFonts w:ascii="Times New Roman" w:hAnsi="Times New Roman" w:cs="Times New Roman"/>
          <w:sz w:val="24"/>
          <w:szCs w:val="24"/>
        </w:rPr>
        <w:t>missions are primarily due to</w:t>
      </w:r>
      <w:r>
        <w:rPr>
          <w:rFonts w:ascii="Times New Roman" w:hAnsi="Times New Roman" w:cs="Times New Roman"/>
          <w:sz w:val="24"/>
          <w:szCs w:val="24"/>
        </w:rPr>
        <w:t xml:space="preserve"> the use of distillate oil</w:t>
      </w:r>
      <w:r w:rsidR="00B8150C">
        <w:rPr>
          <w:rFonts w:ascii="Times New Roman" w:hAnsi="Times New Roman" w:cs="Times New Roman"/>
          <w:sz w:val="24"/>
          <w:szCs w:val="24"/>
        </w:rPr>
        <w:t>, which has dropped in recent years,</w:t>
      </w:r>
      <w:r>
        <w:rPr>
          <w:rFonts w:ascii="Times New Roman" w:hAnsi="Times New Roman" w:cs="Times New Roman"/>
          <w:sz w:val="24"/>
          <w:szCs w:val="24"/>
        </w:rPr>
        <w:t xml:space="preserve"> and natural gas.  The District </w:t>
      </w:r>
      <w:r w:rsidRPr="00A9585B">
        <w:rPr>
          <w:rFonts w:ascii="Times New Roman" w:hAnsi="Times New Roman" w:cs="Times New Roman"/>
          <w:sz w:val="24"/>
          <w:szCs w:val="24"/>
        </w:rPr>
        <w:t xml:space="preserve">recently </w:t>
      </w:r>
      <w:r w:rsidR="004C63BB" w:rsidRPr="00A9585B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a regulation to reduce the sulfur content of home heating oil used in the District</w:t>
      </w:r>
      <w:r w:rsidR="00B8150C">
        <w:rPr>
          <w:rFonts w:ascii="Times New Roman" w:hAnsi="Times New Roman" w:cs="Times New Roman"/>
          <w:sz w:val="24"/>
          <w:szCs w:val="24"/>
        </w:rPr>
        <w:t xml:space="preserve"> (62 DCR 9314; July 3, 2015)</w:t>
      </w:r>
      <w:r w:rsidR="0098668D">
        <w:rPr>
          <w:rFonts w:ascii="Times New Roman" w:hAnsi="Times New Roman" w:cs="Times New Roman"/>
          <w:sz w:val="24"/>
          <w:szCs w:val="24"/>
        </w:rPr>
        <w:t>, and intends to submit a final regulation to EPA for SIP approval</w:t>
      </w:r>
      <w:r w:rsidRPr="00DC3F71">
        <w:rPr>
          <w:rFonts w:ascii="Times New Roman" w:hAnsi="Times New Roman" w:cs="Times New Roman"/>
          <w:sz w:val="24"/>
          <w:szCs w:val="24"/>
        </w:rPr>
        <w:t>.  S</w:t>
      </w:r>
      <w:r w:rsidR="004C63BB" w:rsidRPr="00DC3F71">
        <w:rPr>
          <w:rFonts w:ascii="Times New Roman" w:hAnsi="Times New Roman" w:cs="Times New Roman"/>
          <w:sz w:val="24"/>
          <w:szCs w:val="24"/>
        </w:rPr>
        <w:t xml:space="preserve">ince sulfates are </w:t>
      </w:r>
      <w:r w:rsidRPr="00DC3F71">
        <w:rPr>
          <w:rFonts w:ascii="Times New Roman" w:hAnsi="Times New Roman" w:cs="Times New Roman"/>
          <w:sz w:val="24"/>
          <w:szCs w:val="24"/>
        </w:rPr>
        <w:t>a precursor to PM</w:t>
      </w:r>
      <w:r w:rsidRPr="00DC3F7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4C63BB" w:rsidRPr="00DC3F71">
        <w:rPr>
          <w:rFonts w:ascii="Times New Roman" w:hAnsi="Times New Roman" w:cs="Times New Roman"/>
          <w:sz w:val="24"/>
          <w:szCs w:val="24"/>
        </w:rPr>
        <w:t xml:space="preserve">, </w:t>
      </w:r>
      <w:r w:rsidRPr="00DC3F71">
        <w:rPr>
          <w:rFonts w:ascii="Times New Roman" w:hAnsi="Times New Roman" w:cs="Times New Roman"/>
          <w:sz w:val="24"/>
          <w:szCs w:val="24"/>
        </w:rPr>
        <w:t xml:space="preserve">the District anticipates that distillate-related </w:t>
      </w:r>
      <w:r w:rsidR="00DC3F71" w:rsidRPr="00DC3F71">
        <w:rPr>
          <w:rFonts w:ascii="Times New Roman" w:hAnsi="Times New Roman" w:cs="Times New Roman"/>
          <w:sz w:val="24"/>
          <w:szCs w:val="24"/>
        </w:rPr>
        <w:t>PM</w:t>
      </w:r>
      <w:r w:rsidR="00DC3F71" w:rsidRPr="00DC3F71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DC3F71">
        <w:rPr>
          <w:rFonts w:ascii="Times New Roman" w:hAnsi="Times New Roman" w:cs="Times New Roman"/>
          <w:sz w:val="24"/>
          <w:szCs w:val="24"/>
        </w:rPr>
        <w:t>emissions will be reduced in future years.</w:t>
      </w:r>
    </w:p>
    <w:p w:rsidR="008543C8" w:rsidRDefault="008543C8" w:rsidP="0008730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3F71" w:rsidRDefault="00B31371" w:rsidP="007348A6">
      <w:pPr>
        <w:rPr>
          <w:rFonts w:ascii="Times New Roman" w:hAnsi="Times New Roman" w:cs="Times New Roman"/>
          <w:sz w:val="24"/>
          <w:szCs w:val="24"/>
        </w:rPr>
      </w:pPr>
      <w:r w:rsidRPr="00DC3548">
        <w:rPr>
          <w:rFonts w:ascii="Times New Roman" w:hAnsi="Times New Roman" w:cs="Times New Roman"/>
          <w:i/>
          <w:sz w:val="24"/>
          <w:szCs w:val="24"/>
        </w:rPr>
        <w:t xml:space="preserve">Mobile </w:t>
      </w:r>
      <w:r w:rsidR="00151A18" w:rsidRPr="00DC3548">
        <w:rPr>
          <w:rFonts w:ascii="Times New Roman" w:hAnsi="Times New Roman" w:cs="Times New Roman"/>
          <w:i/>
          <w:sz w:val="24"/>
          <w:szCs w:val="24"/>
        </w:rPr>
        <w:t>Sources:</w:t>
      </w:r>
      <w:r w:rsidR="00C14CC2" w:rsidRPr="00DC354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2B51">
        <w:rPr>
          <w:rFonts w:ascii="Times New Roman" w:hAnsi="Times New Roman" w:cs="Times New Roman"/>
          <w:sz w:val="24"/>
          <w:szCs w:val="24"/>
        </w:rPr>
        <w:t xml:space="preserve">Regional </w:t>
      </w:r>
      <w:r w:rsidR="00B8150C">
        <w:rPr>
          <w:rFonts w:ascii="Times New Roman" w:hAnsi="Times New Roman" w:cs="Times New Roman"/>
          <w:sz w:val="24"/>
          <w:szCs w:val="24"/>
        </w:rPr>
        <w:t xml:space="preserve">and EPA </w:t>
      </w:r>
      <w:r w:rsidR="00092B51">
        <w:rPr>
          <w:rFonts w:ascii="Times New Roman" w:hAnsi="Times New Roman" w:cs="Times New Roman"/>
          <w:sz w:val="24"/>
          <w:szCs w:val="24"/>
        </w:rPr>
        <w:t>modeling indicates</w:t>
      </w:r>
      <w:r w:rsidR="00816396">
        <w:rPr>
          <w:rFonts w:ascii="Times New Roman" w:hAnsi="Times New Roman" w:cs="Times New Roman"/>
          <w:sz w:val="24"/>
          <w:szCs w:val="24"/>
        </w:rPr>
        <w:t xml:space="preserve"> </w:t>
      </w:r>
      <w:r w:rsidR="00092B51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092B51">
        <w:rPr>
          <w:rFonts w:ascii="Times New Roman" w:hAnsi="Times New Roman" w:cs="Times New Roman"/>
          <w:sz w:val="24"/>
          <w:szCs w:val="24"/>
        </w:rPr>
        <w:t>o</w:t>
      </w:r>
      <w:r w:rsidR="00DC3F71">
        <w:rPr>
          <w:rFonts w:ascii="Times New Roman" w:hAnsi="Times New Roman" w:cs="Times New Roman"/>
          <w:sz w:val="24"/>
          <w:szCs w:val="24"/>
        </w:rPr>
        <w:t>nroad</w:t>
      </w:r>
      <w:proofErr w:type="spellEnd"/>
      <w:r w:rsidR="00DC3F71">
        <w:rPr>
          <w:rFonts w:ascii="Times New Roman" w:hAnsi="Times New Roman" w:cs="Times New Roman"/>
          <w:sz w:val="24"/>
          <w:szCs w:val="24"/>
        </w:rPr>
        <w:t xml:space="preserve"> emissions are expected to </w:t>
      </w:r>
      <w:r w:rsidR="00B8150C">
        <w:rPr>
          <w:rFonts w:ascii="Times New Roman" w:hAnsi="Times New Roman" w:cs="Times New Roman"/>
          <w:sz w:val="24"/>
          <w:szCs w:val="24"/>
        </w:rPr>
        <w:t>continue going down</w:t>
      </w:r>
      <w:r w:rsidR="00092B51">
        <w:rPr>
          <w:rFonts w:ascii="Times New Roman" w:hAnsi="Times New Roman" w:cs="Times New Roman"/>
          <w:sz w:val="24"/>
          <w:szCs w:val="24"/>
        </w:rPr>
        <w:t xml:space="preserve"> in future years as </w:t>
      </w:r>
      <w:r w:rsidR="00DC3F71">
        <w:rPr>
          <w:rFonts w:ascii="Times New Roman" w:hAnsi="Times New Roman" w:cs="Times New Roman"/>
          <w:sz w:val="24"/>
          <w:szCs w:val="24"/>
        </w:rPr>
        <w:t xml:space="preserve">Tier 3 </w:t>
      </w:r>
      <w:r w:rsidR="00820198">
        <w:rPr>
          <w:rFonts w:ascii="Times New Roman" w:hAnsi="Times New Roman" w:cs="Times New Roman"/>
          <w:sz w:val="24"/>
          <w:szCs w:val="24"/>
        </w:rPr>
        <w:t xml:space="preserve">clean </w:t>
      </w:r>
      <w:r w:rsidR="00DC3F71">
        <w:rPr>
          <w:rFonts w:ascii="Times New Roman" w:hAnsi="Times New Roman" w:cs="Times New Roman"/>
          <w:sz w:val="24"/>
          <w:szCs w:val="24"/>
        </w:rPr>
        <w:t xml:space="preserve">vehicle </w:t>
      </w:r>
      <w:r w:rsidR="00816396">
        <w:rPr>
          <w:rFonts w:ascii="Times New Roman" w:hAnsi="Times New Roman" w:cs="Times New Roman"/>
          <w:sz w:val="24"/>
          <w:szCs w:val="24"/>
        </w:rPr>
        <w:t xml:space="preserve">and fuel </w:t>
      </w:r>
      <w:r w:rsidR="00DC3F71">
        <w:rPr>
          <w:rFonts w:ascii="Times New Roman" w:hAnsi="Times New Roman" w:cs="Times New Roman"/>
          <w:sz w:val="24"/>
          <w:szCs w:val="24"/>
        </w:rPr>
        <w:t>standards</w:t>
      </w:r>
      <w:r w:rsidR="00092B51">
        <w:rPr>
          <w:rFonts w:ascii="Times New Roman" w:hAnsi="Times New Roman" w:cs="Times New Roman"/>
          <w:sz w:val="24"/>
          <w:szCs w:val="24"/>
        </w:rPr>
        <w:t xml:space="preserve"> are implemented</w:t>
      </w:r>
      <w:r w:rsidR="00275C3E">
        <w:rPr>
          <w:rFonts w:ascii="Times New Roman" w:hAnsi="Times New Roman" w:cs="Times New Roman"/>
          <w:sz w:val="24"/>
          <w:szCs w:val="24"/>
        </w:rPr>
        <w:t xml:space="preserve"> </w:t>
      </w:r>
      <w:r w:rsidR="00275C3E">
        <w:rPr>
          <w:rFonts w:ascii="Times New Roman" w:hAnsi="Times New Roman" w:cs="Times New Roman"/>
          <w:sz w:val="24"/>
          <w:szCs w:val="24"/>
        </w:rPr>
        <w:lastRenderedPageBreak/>
        <w:t>and vehicle turnover occurs</w:t>
      </w:r>
      <w:r w:rsidR="00092B51">
        <w:rPr>
          <w:rFonts w:ascii="Times New Roman" w:hAnsi="Times New Roman" w:cs="Times New Roman"/>
          <w:sz w:val="24"/>
          <w:szCs w:val="24"/>
        </w:rPr>
        <w:t>, despite increases in population.</w:t>
      </w:r>
      <w:r w:rsidR="00275C3E">
        <w:rPr>
          <w:rFonts w:ascii="Times New Roman" w:hAnsi="Times New Roman" w:cs="Times New Roman"/>
          <w:sz w:val="24"/>
          <w:szCs w:val="24"/>
        </w:rPr>
        <w:t xml:space="preserve">  Mobile sources, both </w:t>
      </w:r>
      <w:proofErr w:type="spellStart"/>
      <w:r w:rsidR="00275C3E">
        <w:rPr>
          <w:rFonts w:ascii="Times New Roman" w:hAnsi="Times New Roman" w:cs="Times New Roman"/>
          <w:sz w:val="24"/>
          <w:szCs w:val="24"/>
        </w:rPr>
        <w:t>onroad</w:t>
      </w:r>
      <w:proofErr w:type="spellEnd"/>
      <w:r w:rsidR="00275C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5C3E">
        <w:rPr>
          <w:rFonts w:ascii="Times New Roman" w:hAnsi="Times New Roman" w:cs="Times New Roman"/>
          <w:sz w:val="24"/>
          <w:szCs w:val="24"/>
        </w:rPr>
        <w:t>nonroad</w:t>
      </w:r>
      <w:proofErr w:type="spellEnd"/>
      <w:r w:rsidR="00275C3E">
        <w:rPr>
          <w:rFonts w:ascii="Times New Roman" w:hAnsi="Times New Roman" w:cs="Times New Roman"/>
          <w:sz w:val="24"/>
          <w:szCs w:val="24"/>
        </w:rPr>
        <w:t xml:space="preserve"> combined, contribute roughly</w:t>
      </w:r>
      <w:r w:rsidR="002C71AC">
        <w:rPr>
          <w:rFonts w:ascii="Times New Roman" w:hAnsi="Times New Roman" w:cs="Times New Roman"/>
          <w:sz w:val="24"/>
          <w:szCs w:val="24"/>
        </w:rPr>
        <w:t xml:space="preserve"> one quarter of the PM</w:t>
      </w:r>
      <w:r w:rsidR="002C71AC" w:rsidRPr="002C71AC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275C3E">
        <w:rPr>
          <w:rFonts w:ascii="Times New Roman" w:hAnsi="Times New Roman" w:cs="Times New Roman"/>
          <w:sz w:val="24"/>
          <w:szCs w:val="24"/>
        </w:rPr>
        <w:t>emissions in the District</w:t>
      </w:r>
      <w:r w:rsidR="002C71AC">
        <w:rPr>
          <w:rFonts w:ascii="Times New Roman" w:hAnsi="Times New Roman" w:cs="Times New Roman"/>
          <w:sz w:val="24"/>
          <w:szCs w:val="24"/>
        </w:rPr>
        <w:t>.</w:t>
      </w:r>
      <w:r w:rsidR="00796E5A">
        <w:rPr>
          <w:rFonts w:ascii="Times New Roman" w:hAnsi="Times New Roman" w:cs="Times New Roman"/>
          <w:sz w:val="24"/>
          <w:szCs w:val="24"/>
        </w:rPr>
        <w:t xml:space="preserve">  </w:t>
      </w:r>
      <w:r w:rsidR="00275C3E">
        <w:rPr>
          <w:rFonts w:ascii="Times New Roman" w:hAnsi="Times New Roman" w:cs="Times New Roman"/>
          <w:sz w:val="24"/>
          <w:szCs w:val="24"/>
        </w:rPr>
        <w:t>In 2011, d</w:t>
      </w:r>
      <w:r w:rsidR="00796E5A">
        <w:rPr>
          <w:rFonts w:ascii="Times New Roman" w:hAnsi="Times New Roman" w:cs="Times New Roman"/>
          <w:sz w:val="24"/>
          <w:szCs w:val="24"/>
        </w:rPr>
        <w:t>iesel-powered</w:t>
      </w:r>
      <w:r w:rsidR="00275C3E">
        <w:rPr>
          <w:rFonts w:ascii="Times New Roman" w:hAnsi="Times New Roman" w:cs="Times New Roman"/>
          <w:sz w:val="24"/>
          <w:szCs w:val="24"/>
        </w:rPr>
        <w:t xml:space="preserve"> vehicles</w:t>
      </w:r>
      <w:r w:rsidR="00796E5A">
        <w:rPr>
          <w:rFonts w:ascii="Times New Roman" w:hAnsi="Times New Roman" w:cs="Times New Roman"/>
          <w:sz w:val="24"/>
          <w:szCs w:val="24"/>
        </w:rPr>
        <w:t xml:space="preserve"> </w:t>
      </w:r>
      <w:r w:rsidR="00E4383A">
        <w:rPr>
          <w:rFonts w:ascii="Times New Roman" w:hAnsi="Times New Roman" w:cs="Times New Roman"/>
          <w:sz w:val="24"/>
          <w:szCs w:val="24"/>
        </w:rPr>
        <w:t xml:space="preserve">(which </w:t>
      </w:r>
      <w:r w:rsidR="00B8150C">
        <w:rPr>
          <w:rFonts w:ascii="Times New Roman" w:hAnsi="Times New Roman" w:cs="Times New Roman"/>
          <w:sz w:val="24"/>
          <w:szCs w:val="24"/>
        </w:rPr>
        <w:t>release</w:t>
      </w:r>
      <w:r w:rsidR="00E4383A">
        <w:rPr>
          <w:rFonts w:ascii="Times New Roman" w:hAnsi="Times New Roman" w:cs="Times New Roman"/>
          <w:sz w:val="24"/>
          <w:szCs w:val="24"/>
        </w:rPr>
        <w:t xml:space="preserve"> more PM than gasoline-powered vehicles) </w:t>
      </w:r>
      <w:r w:rsidR="00275C3E">
        <w:rPr>
          <w:rFonts w:ascii="Times New Roman" w:hAnsi="Times New Roman" w:cs="Times New Roman"/>
          <w:sz w:val="24"/>
          <w:szCs w:val="24"/>
        </w:rPr>
        <w:t>accounted for 54 percent of PM</w:t>
      </w:r>
      <w:r w:rsidR="00275C3E" w:rsidRPr="00275C3E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275C3E">
        <w:rPr>
          <w:rFonts w:ascii="Times New Roman" w:hAnsi="Times New Roman" w:cs="Times New Roman"/>
          <w:sz w:val="24"/>
          <w:szCs w:val="24"/>
        </w:rPr>
        <w:t xml:space="preserve">emissions from the </w:t>
      </w:r>
      <w:proofErr w:type="spellStart"/>
      <w:r w:rsidR="00275C3E">
        <w:rPr>
          <w:rFonts w:ascii="Times New Roman" w:hAnsi="Times New Roman" w:cs="Times New Roman"/>
          <w:sz w:val="24"/>
          <w:szCs w:val="24"/>
        </w:rPr>
        <w:t>onroad</w:t>
      </w:r>
      <w:proofErr w:type="spellEnd"/>
      <w:r w:rsidR="00275C3E">
        <w:rPr>
          <w:rFonts w:ascii="Times New Roman" w:hAnsi="Times New Roman" w:cs="Times New Roman"/>
          <w:sz w:val="24"/>
          <w:szCs w:val="24"/>
        </w:rPr>
        <w:t xml:space="preserve"> sector</w:t>
      </w:r>
      <w:r w:rsidR="006B3C14">
        <w:rPr>
          <w:rFonts w:ascii="Times New Roman" w:hAnsi="Times New Roman" w:cs="Times New Roman"/>
          <w:sz w:val="24"/>
          <w:szCs w:val="24"/>
        </w:rPr>
        <w:t xml:space="preserve"> and 88 percent of PM</w:t>
      </w:r>
      <w:r w:rsidR="006B3C14" w:rsidRPr="006B3C14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6B3C14">
        <w:rPr>
          <w:rFonts w:ascii="Times New Roman" w:hAnsi="Times New Roman" w:cs="Times New Roman"/>
          <w:sz w:val="24"/>
          <w:szCs w:val="24"/>
        </w:rPr>
        <w:t xml:space="preserve">emissions from the </w:t>
      </w:r>
      <w:proofErr w:type="spellStart"/>
      <w:r w:rsidR="006B3C14">
        <w:rPr>
          <w:rFonts w:ascii="Times New Roman" w:hAnsi="Times New Roman" w:cs="Times New Roman"/>
          <w:sz w:val="24"/>
          <w:szCs w:val="24"/>
        </w:rPr>
        <w:t>nonroad</w:t>
      </w:r>
      <w:proofErr w:type="spellEnd"/>
      <w:r w:rsidR="006B3C14">
        <w:rPr>
          <w:rFonts w:ascii="Times New Roman" w:hAnsi="Times New Roman" w:cs="Times New Roman"/>
          <w:sz w:val="24"/>
          <w:szCs w:val="24"/>
        </w:rPr>
        <w:t xml:space="preserve"> sector</w:t>
      </w:r>
      <w:r w:rsidR="00275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C3E" w:rsidRDefault="00275C3E" w:rsidP="007348A6">
      <w:pPr>
        <w:rPr>
          <w:rFonts w:ascii="Times New Roman" w:hAnsi="Times New Roman" w:cs="Times New Roman"/>
          <w:sz w:val="24"/>
          <w:szCs w:val="24"/>
        </w:rPr>
      </w:pPr>
    </w:p>
    <w:p w:rsidR="007348A6" w:rsidRPr="00DC3548" w:rsidRDefault="002C71AC" w:rsidP="0073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465C" w:rsidRPr="00DC3548">
        <w:rPr>
          <w:rFonts w:ascii="Times New Roman" w:hAnsi="Times New Roman" w:cs="Times New Roman"/>
          <w:sz w:val="24"/>
          <w:szCs w:val="24"/>
        </w:rPr>
        <w:t xml:space="preserve">he District </w:t>
      </w:r>
      <w:r w:rsidR="00AA638F" w:rsidRPr="00DC3548">
        <w:rPr>
          <w:rFonts w:ascii="Times New Roman" w:hAnsi="Times New Roman" w:cs="Times New Roman"/>
          <w:sz w:val="24"/>
          <w:szCs w:val="24"/>
        </w:rPr>
        <w:t>implement</w:t>
      </w:r>
      <w:r w:rsidR="00FF1B5A" w:rsidRPr="00DC3548">
        <w:rPr>
          <w:rFonts w:ascii="Times New Roman" w:hAnsi="Times New Roman" w:cs="Times New Roman"/>
          <w:sz w:val="24"/>
          <w:szCs w:val="24"/>
        </w:rPr>
        <w:t>s</w:t>
      </w:r>
      <w:r w:rsidR="00AA638F" w:rsidRPr="00DC3548">
        <w:rPr>
          <w:rFonts w:ascii="Times New Roman" w:hAnsi="Times New Roman" w:cs="Times New Roman"/>
          <w:sz w:val="24"/>
          <w:szCs w:val="24"/>
        </w:rPr>
        <w:t xml:space="preserve"> </w:t>
      </w:r>
      <w:r w:rsidR="00D0465C" w:rsidRPr="00DC3548">
        <w:rPr>
          <w:rFonts w:ascii="Times New Roman" w:hAnsi="Times New Roman" w:cs="Times New Roman"/>
          <w:sz w:val="24"/>
          <w:szCs w:val="24"/>
        </w:rPr>
        <w:t>an Enhanced Vehicle Inspection and Maintenance (I/M) program</w:t>
      </w:r>
      <w:r w:rsidR="00AA638F" w:rsidRPr="00DC3548">
        <w:t xml:space="preserve"> t</w:t>
      </w:r>
      <w:r w:rsidR="00AA638F" w:rsidRPr="00DC3548">
        <w:rPr>
          <w:rFonts w:ascii="Times New Roman" w:hAnsi="Times New Roman" w:cs="Times New Roman"/>
          <w:sz w:val="24"/>
          <w:szCs w:val="24"/>
        </w:rPr>
        <w:t>o control</w:t>
      </w:r>
      <w:r w:rsidR="00B307B4" w:rsidRPr="00DC3548">
        <w:rPr>
          <w:rFonts w:ascii="Times New Roman" w:hAnsi="Times New Roman" w:cs="Times New Roman"/>
          <w:sz w:val="24"/>
          <w:szCs w:val="24"/>
        </w:rPr>
        <w:t xml:space="preserve"> emissions from </w:t>
      </w:r>
      <w:proofErr w:type="spellStart"/>
      <w:r w:rsidR="00B307B4" w:rsidRPr="00DC3548">
        <w:rPr>
          <w:rFonts w:ascii="Times New Roman" w:hAnsi="Times New Roman" w:cs="Times New Roman"/>
          <w:sz w:val="24"/>
          <w:szCs w:val="24"/>
        </w:rPr>
        <w:t>onroad</w:t>
      </w:r>
      <w:proofErr w:type="spellEnd"/>
      <w:r w:rsidR="00B307B4" w:rsidRPr="00DC3548">
        <w:rPr>
          <w:rFonts w:ascii="Times New Roman" w:hAnsi="Times New Roman" w:cs="Times New Roman"/>
          <w:sz w:val="24"/>
          <w:szCs w:val="24"/>
        </w:rPr>
        <w:t xml:space="preserve"> vehicles</w:t>
      </w:r>
      <w:r w:rsidR="000A3E1A">
        <w:rPr>
          <w:rFonts w:ascii="Times New Roman" w:hAnsi="Times New Roman" w:cs="Times New Roman"/>
          <w:sz w:val="24"/>
          <w:szCs w:val="24"/>
        </w:rPr>
        <w:t>, approved by EPA at 40 C.F.R. 52.470(c))</w:t>
      </w:r>
      <w:r w:rsidR="00D0465C" w:rsidRPr="00DC3548">
        <w:rPr>
          <w:rFonts w:ascii="Times New Roman" w:hAnsi="Times New Roman" w:cs="Times New Roman"/>
          <w:sz w:val="24"/>
          <w:szCs w:val="24"/>
        </w:rPr>
        <w:t xml:space="preserve">.  </w:t>
      </w:r>
      <w:r w:rsidR="007B3BC5" w:rsidRPr="00DC3548">
        <w:rPr>
          <w:rFonts w:ascii="Times New Roman" w:hAnsi="Times New Roman" w:cs="Times New Roman"/>
          <w:sz w:val="24"/>
          <w:szCs w:val="24"/>
        </w:rPr>
        <w:t>The District also</w:t>
      </w:r>
      <w:r w:rsidR="00232595" w:rsidRPr="00DC3548">
        <w:rPr>
          <w:rFonts w:ascii="Times New Roman" w:hAnsi="Times New Roman" w:cs="Times New Roman"/>
          <w:sz w:val="24"/>
          <w:szCs w:val="24"/>
        </w:rPr>
        <w:t xml:space="preserve"> does extensive outreach to educate tour bus drivers and others who may be impacted by the District’s strict</w:t>
      </w:r>
      <w:r w:rsidR="007B3BC5" w:rsidRPr="00DC3548">
        <w:rPr>
          <w:rFonts w:ascii="Times New Roman" w:hAnsi="Times New Roman" w:cs="Times New Roman"/>
          <w:sz w:val="24"/>
          <w:szCs w:val="24"/>
        </w:rPr>
        <w:t xml:space="preserve"> </w:t>
      </w:r>
      <w:r w:rsidR="00232595" w:rsidRPr="00DC3548">
        <w:rPr>
          <w:rFonts w:ascii="Times New Roman" w:hAnsi="Times New Roman" w:cs="Times New Roman"/>
          <w:sz w:val="24"/>
          <w:szCs w:val="24"/>
        </w:rPr>
        <w:t>engine idling time limits</w:t>
      </w:r>
      <w:r w:rsidR="007B3BC5" w:rsidRPr="00DC3548">
        <w:rPr>
          <w:rFonts w:ascii="Times New Roman" w:hAnsi="Times New Roman" w:cs="Times New Roman"/>
          <w:sz w:val="24"/>
          <w:szCs w:val="24"/>
        </w:rPr>
        <w:t xml:space="preserve"> at 20 DCMR § 900.1.</w:t>
      </w:r>
      <w:r w:rsidR="007348A6" w:rsidRPr="00DC3548">
        <w:rPr>
          <w:rFonts w:ascii="Times New Roman" w:hAnsi="Times New Roman" w:cs="Times New Roman"/>
          <w:sz w:val="24"/>
          <w:szCs w:val="24"/>
        </w:rPr>
        <w:t xml:space="preserve">  Otherwise, the District relies heavily on federal measures to reduce emissions from onroad and nonroad engines.  </w:t>
      </w:r>
    </w:p>
    <w:p w:rsidR="00D0465C" w:rsidRPr="00DC3548" w:rsidRDefault="00D0465C" w:rsidP="003D6A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1E4A" w:rsidRPr="00DC3548" w:rsidRDefault="00151A18" w:rsidP="003D6A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3548">
        <w:rPr>
          <w:rFonts w:ascii="Times New Roman" w:hAnsi="Times New Roman" w:cs="Times New Roman"/>
          <w:sz w:val="24"/>
          <w:szCs w:val="24"/>
          <w:u w:val="single"/>
        </w:rPr>
        <w:t>Contributions from Other States</w:t>
      </w:r>
      <w:r w:rsidR="00C14CC2" w:rsidRPr="00DC3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1E4A" w:rsidRPr="00DC3548" w:rsidRDefault="007B1E4A" w:rsidP="003D6A4E">
      <w:pPr>
        <w:rPr>
          <w:rFonts w:ascii="Times New Roman" w:hAnsi="Times New Roman" w:cs="Times New Roman"/>
          <w:sz w:val="24"/>
          <w:szCs w:val="24"/>
        </w:rPr>
      </w:pPr>
    </w:p>
    <w:p w:rsidR="002C71AC" w:rsidRDefault="002C71AC" w:rsidP="00DC35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is no EPA assessment of PM</w:t>
      </w:r>
      <w:r w:rsidRPr="002C71AC">
        <w:rPr>
          <w:rFonts w:ascii="Times New Roman" w:hAnsi="Times New Roman" w:cs="Times New Roman"/>
          <w:bCs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bCs/>
          <w:sz w:val="24"/>
          <w:szCs w:val="24"/>
        </w:rPr>
        <w:t>-related transport across state boundaries</w:t>
      </w:r>
      <w:r w:rsidR="005D10CA">
        <w:rPr>
          <w:rFonts w:ascii="Times New Roman" w:hAnsi="Times New Roman" w:cs="Times New Roman"/>
          <w:bCs/>
          <w:sz w:val="24"/>
          <w:szCs w:val="24"/>
        </w:rPr>
        <w:t>.</w:t>
      </w:r>
      <w:r w:rsidR="00A92527">
        <w:rPr>
          <w:rFonts w:ascii="Times New Roman" w:hAnsi="Times New Roman" w:cs="Times New Roman"/>
          <w:bCs/>
          <w:sz w:val="24"/>
          <w:szCs w:val="24"/>
        </w:rPr>
        <w:t xml:space="preserve">  Generally, PM</w:t>
      </w:r>
      <w:r w:rsidR="00A92527" w:rsidRPr="00A9252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.2.5 </w:t>
      </w:r>
      <w:r w:rsidR="00A92527">
        <w:rPr>
          <w:rFonts w:ascii="Times New Roman" w:hAnsi="Times New Roman" w:cs="Times New Roman"/>
          <w:bCs/>
          <w:sz w:val="24"/>
          <w:szCs w:val="24"/>
        </w:rPr>
        <w:t>levels follow similar trends as ozone levels.</w:t>
      </w:r>
    </w:p>
    <w:p w:rsidR="00A92527" w:rsidRDefault="00A92527" w:rsidP="00DC3548">
      <w:pPr>
        <w:rPr>
          <w:rFonts w:ascii="Times New Roman" w:hAnsi="Times New Roman" w:cs="Times New Roman"/>
          <w:bCs/>
          <w:sz w:val="24"/>
          <w:szCs w:val="24"/>
        </w:rPr>
      </w:pPr>
    </w:p>
    <w:p w:rsidR="00DC3548" w:rsidRPr="00DC3548" w:rsidRDefault="00DC3548" w:rsidP="00DC35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3548">
        <w:rPr>
          <w:rFonts w:ascii="Times New Roman" w:hAnsi="Times New Roman" w:cs="Times New Roman"/>
          <w:bCs/>
          <w:sz w:val="24"/>
          <w:szCs w:val="24"/>
        </w:rPr>
        <w:t>In the Cross State Air Pollution Rule (CSAPR)</w:t>
      </w:r>
      <w:r w:rsidR="005D10CA">
        <w:rPr>
          <w:rFonts w:ascii="Times New Roman" w:hAnsi="Times New Roman" w:cs="Times New Roman"/>
          <w:bCs/>
          <w:sz w:val="24"/>
          <w:szCs w:val="24"/>
        </w:rPr>
        <w:t xml:space="preserve"> related to ozone transport</w:t>
      </w:r>
      <w:r w:rsidRPr="00DC3548">
        <w:rPr>
          <w:rFonts w:ascii="Times New Roman" w:hAnsi="Times New Roman" w:cs="Times New Roman"/>
          <w:bCs/>
          <w:sz w:val="24"/>
          <w:szCs w:val="24"/>
        </w:rPr>
        <w:t xml:space="preserve">, EPA used a contribution screening threshold of one percent of the </w:t>
      </w:r>
      <w:r w:rsidR="002C71AC">
        <w:rPr>
          <w:rFonts w:ascii="Times New Roman" w:hAnsi="Times New Roman" w:cs="Times New Roman"/>
          <w:bCs/>
          <w:sz w:val="24"/>
          <w:szCs w:val="24"/>
        </w:rPr>
        <w:t xml:space="preserve">2008 </w:t>
      </w:r>
      <w:r w:rsidR="005D10CA">
        <w:rPr>
          <w:rFonts w:ascii="Times New Roman" w:hAnsi="Times New Roman" w:cs="Times New Roman"/>
          <w:bCs/>
          <w:sz w:val="24"/>
          <w:szCs w:val="24"/>
        </w:rPr>
        <w:t xml:space="preserve">ozone </w:t>
      </w:r>
      <w:r w:rsidRPr="00DC3548">
        <w:rPr>
          <w:rFonts w:ascii="Times New Roman" w:hAnsi="Times New Roman" w:cs="Times New Roman"/>
          <w:bCs/>
          <w:sz w:val="24"/>
          <w:szCs w:val="24"/>
        </w:rPr>
        <w:t>NAAQS to identify upwind states that may significantly contribut</w:t>
      </w:r>
      <w:r w:rsidR="002C71AC">
        <w:rPr>
          <w:rFonts w:ascii="Times New Roman" w:hAnsi="Times New Roman" w:cs="Times New Roman"/>
          <w:bCs/>
          <w:sz w:val="24"/>
          <w:szCs w:val="24"/>
        </w:rPr>
        <w:t xml:space="preserve">e to downwind nonattainment </w:t>
      </w:r>
      <w:r w:rsidRPr="00DC3548">
        <w:rPr>
          <w:rFonts w:ascii="Times New Roman" w:hAnsi="Times New Roman" w:cs="Times New Roman"/>
          <w:bCs/>
          <w:sz w:val="24"/>
          <w:szCs w:val="24"/>
        </w:rPr>
        <w:t xml:space="preserve">or maintenance problems.  According to EPA’s ozone transport modeling, the largest ozone contributions from the District to 2017 projected nonattainment areas </w:t>
      </w:r>
      <w:r w:rsidR="00B02670">
        <w:rPr>
          <w:rFonts w:ascii="Times New Roman" w:hAnsi="Times New Roman" w:cs="Times New Roman"/>
          <w:bCs/>
          <w:sz w:val="24"/>
          <w:szCs w:val="24"/>
        </w:rPr>
        <w:t xml:space="preserve">in other states </w:t>
      </w:r>
      <w:r w:rsidRPr="00DC3548">
        <w:rPr>
          <w:rFonts w:ascii="Times New Roman" w:hAnsi="Times New Roman" w:cs="Times New Roman"/>
          <w:bCs/>
          <w:sz w:val="24"/>
          <w:szCs w:val="24"/>
        </w:rPr>
        <w:t xml:space="preserve">is 0.73 parts per billion (ppb), and to 2017 projected maintenance-only </w:t>
      </w:r>
      <w:r w:rsidR="00B02670">
        <w:rPr>
          <w:rFonts w:ascii="Times New Roman" w:hAnsi="Times New Roman" w:cs="Times New Roman"/>
          <w:bCs/>
          <w:sz w:val="24"/>
          <w:szCs w:val="24"/>
        </w:rPr>
        <w:t>areas in other states</w:t>
      </w:r>
      <w:r w:rsidRPr="00DC3548">
        <w:rPr>
          <w:rFonts w:ascii="Times New Roman" w:hAnsi="Times New Roman" w:cs="Times New Roman"/>
          <w:bCs/>
          <w:sz w:val="24"/>
          <w:szCs w:val="24"/>
        </w:rPr>
        <w:t xml:space="preserve"> is 0.64 ppb.</w:t>
      </w:r>
      <w:r w:rsidRPr="00DC3548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DC3548">
        <w:rPr>
          <w:rFonts w:ascii="Times New Roman" w:hAnsi="Times New Roman" w:cs="Times New Roman"/>
          <w:bCs/>
          <w:sz w:val="24"/>
          <w:szCs w:val="24"/>
        </w:rPr>
        <w:t xml:space="preserve">  Since the one percent contribution threshold for the 2008 NAAQS is </w:t>
      </w:r>
      <w:r w:rsidR="00B02670">
        <w:rPr>
          <w:rFonts w:ascii="Times New Roman" w:hAnsi="Times New Roman" w:cs="Times New Roman"/>
          <w:bCs/>
          <w:sz w:val="24"/>
          <w:szCs w:val="24"/>
        </w:rPr>
        <w:t xml:space="preserve">equivalent to </w:t>
      </w:r>
      <w:r w:rsidRPr="00DC3548">
        <w:rPr>
          <w:rFonts w:ascii="Times New Roman" w:hAnsi="Times New Roman" w:cs="Times New Roman"/>
          <w:bCs/>
          <w:sz w:val="24"/>
          <w:szCs w:val="24"/>
        </w:rPr>
        <w:t>0.76 ppb, the District’s projected contributions are below the threshold</w:t>
      </w:r>
      <w:r w:rsidR="00E4383A">
        <w:rPr>
          <w:rFonts w:ascii="Times New Roman" w:hAnsi="Times New Roman" w:cs="Times New Roman"/>
          <w:bCs/>
          <w:sz w:val="24"/>
          <w:szCs w:val="24"/>
        </w:rPr>
        <w:t>, meaning that the District does not significantly contribute to</w:t>
      </w:r>
      <w:r w:rsidR="005D10CA">
        <w:rPr>
          <w:rFonts w:ascii="Times New Roman" w:hAnsi="Times New Roman" w:cs="Times New Roman"/>
          <w:bCs/>
          <w:sz w:val="24"/>
          <w:szCs w:val="24"/>
        </w:rPr>
        <w:t xml:space="preserve"> ozone</w:t>
      </w:r>
      <w:r w:rsidR="00E4383A">
        <w:rPr>
          <w:rFonts w:ascii="Times New Roman" w:hAnsi="Times New Roman" w:cs="Times New Roman"/>
          <w:bCs/>
          <w:sz w:val="24"/>
          <w:szCs w:val="24"/>
        </w:rPr>
        <w:t xml:space="preserve"> nonattainment or maintenance issues in any other state</w:t>
      </w:r>
      <w:r w:rsidR="005D10CA">
        <w:rPr>
          <w:rFonts w:ascii="Times New Roman" w:hAnsi="Times New Roman" w:cs="Times New Roman"/>
          <w:bCs/>
          <w:sz w:val="24"/>
          <w:szCs w:val="24"/>
        </w:rPr>
        <w:t xml:space="preserve">.  Thus, it is reasonable to hypothesize that the District does not </w:t>
      </w:r>
      <w:r w:rsidR="00B02670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="005D10CA">
        <w:rPr>
          <w:rFonts w:ascii="Times New Roman" w:hAnsi="Times New Roman" w:cs="Times New Roman"/>
          <w:bCs/>
          <w:sz w:val="24"/>
          <w:szCs w:val="24"/>
        </w:rPr>
        <w:t xml:space="preserve">contribute to </w:t>
      </w:r>
      <w:r w:rsidR="00B02670">
        <w:rPr>
          <w:rFonts w:ascii="Times New Roman" w:hAnsi="Times New Roman" w:cs="Times New Roman"/>
          <w:bCs/>
          <w:sz w:val="24"/>
          <w:szCs w:val="24"/>
        </w:rPr>
        <w:t xml:space="preserve">any downwind </w:t>
      </w:r>
      <w:r w:rsidR="005D10CA">
        <w:rPr>
          <w:rFonts w:ascii="Times New Roman" w:hAnsi="Times New Roman" w:cs="Times New Roman"/>
          <w:bCs/>
          <w:sz w:val="24"/>
          <w:szCs w:val="24"/>
        </w:rPr>
        <w:t>PM</w:t>
      </w:r>
      <w:r w:rsidR="005D10CA" w:rsidRPr="005D10CA">
        <w:rPr>
          <w:rFonts w:ascii="Times New Roman" w:hAnsi="Times New Roman" w:cs="Times New Roman"/>
          <w:bCs/>
          <w:sz w:val="24"/>
          <w:szCs w:val="24"/>
          <w:vertAlign w:val="subscript"/>
        </w:rPr>
        <w:t>2.5</w:t>
      </w:r>
      <w:r w:rsidR="005D10CA" w:rsidRPr="005D1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0CA">
        <w:rPr>
          <w:rFonts w:ascii="Times New Roman" w:hAnsi="Times New Roman" w:cs="Times New Roman"/>
          <w:bCs/>
          <w:sz w:val="24"/>
          <w:szCs w:val="24"/>
        </w:rPr>
        <w:t>issues.</w:t>
      </w:r>
    </w:p>
    <w:p w:rsidR="00DC45D8" w:rsidRPr="00DC3548" w:rsidRDefault="00DC45D8" w:rsidP="00DC45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B33" w:rsidRPr="00DC3548" w:rsidRDefault="00766B33" w:rsidP="003D6A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3548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151A18" w:rsidRPr="00DC3548" w:rsidRDefault="00151A18" w:rsidP="003D6A4E">
      <w:pPr>
        <w:rPr>
          <w:rFonts w:ascii="Times New Roman" w:hAnsi="Times New Roman" w:cs="Times New Roman"/>
          <w:sz w:val="24"/>
          <w:szCs w:val="24"/>
        </w:rPr>
      </w:pPr>
    </w:p>
    <w:p w:rsidR="00151A18" w:rsidRDefault="004B12E4">
      <w:pPr>
        <w:rPr>
          <w:rFonts w:ascii="Times New Roman" w:hAnsi="Times New Roman" w:cs="Times New Roman"/>
          <w:sz w:val="24"/>
          <w:szCs w:val="24"/>
        </w:rPr>
      </w:pPr>
      <w:r w:rsidRPr="00DC3548">
        <w:rPr>
          <w:rFonts w:ascii="Times New Roman" w:hAnsi="Times New Roman" w:cs="Times New Roman"/>
          <w:sz w:val="24"/>
          <w:szCs w:val="24"/>
        </w:rPr>
        <w:t xml:space="preserve">The District of Columbia is a small jurisdiction with </w:t>
      </w:r>
      <w:r w:rsidR="00743B9E" w:rsidRPr="00DC3548">
        <w:rPr>
          <w:rFonts w:ascii="Times New Roman" w:hAnsi="Times New Roman" w:cs="Times New Roman"/>
          <w:sz w:val="24"/>
          <w:szCs w:val="24"/>
        </w:rPr>
        <w:t xml:space="preserve">no significant </w:t>
      </w:r>
      <w:r w:rsidRPr="00DC3548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DC3548" w:rsidRPr="00DC3548">
        <w:rPr>
          <w:rFonts w:ascii="Times New Roman" w:hAnsi="Times New Roman" w:cs="Times New Roman"/>
          <w:sz w:val="24"/>
          <w:szCs w:val="24"/>
        </w:rPr>
        <w:t>PM</w:t>
      </w:r>
      <w:r w:rsidR="00DC3548" w:rsidRPr="00DC3548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C35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3548">
        <w:rPr>
          <w:rFonts w:ascii="Times New Roman" w:hAnsi="Times New Roman" w:cs="Times New Roman"/>
          <w:sz w:val="24"/>
          <w:szCs w:val="24"/>
        </w:rPr>
        <w:t>emissions</w:t>
      </w:r>
      <w:r w:rsidR="00B65DEB" w:rsidRPr="00DC3548">
        <w:rPr>
          <w:rFonts w:ascii="Times New Roman" w:hAnsi="Times New Roman" w:cs="Times New Roman"/>
          <w:sz w:val="24"/>
          <w:szCs w:val="24"/>
        </w:rPr>
        <w:t xml:space="preserve"> and little opportunity to reduce emissions</w:t>
      </w:r>
      <w:r w:rsidRPr="00DC3548">
        <w:rPr>
          <w:rFonts w:ascii="Times New Roman" w:hAnsi="Times New Roman" w:cs="Times New Roman"/>
          <w:sz w:val="24"/>
          <w:szCs w:val="24"/>
        </w:rPr>
        <w:t xml:space="preserve">.  </w:t>
      </w:r>
      <w:r w:rsidR="0098668D" w:rsidRPr="006017BF">
        <w:rPr>
          <w:rFonts w:ascii="Times New Roman" w:hAnsi="Times New Roman" w:cs="Times New Roman"/>
          <w:sz w:val="24"/>
          <w:szCs w:val="24"/>
        </w:rPr>
        <w:t>The District’s SIP contains adequate provisions</w:t>
      </w:r>
      <w:r w:rsidR="0098668D">
        <w:rPr>
          <w:rFonts w:ascii="Times New Roman" w:hAnsi="Times New Roman" w:cs="Times New Roman"/>
          <w:sz w:val="24"/>
          <w:szCs w:val="24"/>
        </w:rPr>
        <w:t>, as discussed in the Infrastructure SIP submission,</w:t>
      </w:r>
      <w:r w:rsidR="0098668D" w:rsidRPr="006017BF">
        <w:rPr>
          <w:rFonts w:ascii="Times New Roman" w:hAnsi="Times New Roman" w:cs="Times New Roman"/>
          <w:sz w:val="24"/>
          <w:szCs w:val="24"/>
        </w:rPr>
        <w:t xml:space="preserve"> to prohibit sources from emitting air pollutants at levels that would significantly contribute to nonattainment or interfere with maintenance by other states with the 2012 PM</w:t>
      </w:r>
      <w:r w:rsidR="0098668D" w:rsidRPr="006017BF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98668D" w:rsidRPr="006017BF">
        <w:rPr>
          <w:rFonts w:ascii="Times New Roman" w:hAnsi="Times New Roman" w:cs="Times New Roman"/>
          <w:sz w:val="24"/>
          <w:szCs w:val="24"/>
        </w:rPr>
        <w:t xml:space="preserve">NAAQS.  </w:t>
      </w:r>
      <w:r w:rsidR="00955967" w:rsidRPr="00DC3548">
        <w:rPr>
          <w:rFonts w:ascii="Times New Roman" w:hAnsi="Times New Roman" w:cs="Times New Roman"/>
          <w:sz w:val="24"/>
          <w:szCs w:val="24"/>
        </w:rPr>
        <w:t xml:space="preserve">While the District does what it can to adopt new control measures, </w:t>
      </w:r>
      <w:r w:rsidR="00F40D7A" w:rsidRPr="00DC3548">
        <w:rPr>
          <w:rFonts w:ascii="Times New Roman" w:hAnsi="Times New Roman" w:cs="Times New Roman"/>
          <w:sz w:val="24"/>
          <w:szCs w:val="24"/>
        </w:rPr>
        <w:t>it historically has and will likely continue to</w:t>
      </w:r>
      <w:r w:rsidR="00AE2395" w:rsidRPr="00DC3548">
        <w:rPr>
          <w:rFonts w:ascii="Times New Roman" w:hAnsi="Times New Roman" w:cs="Times New Roman"/>
          <w:sz w:val="24"/>
          <w:szCs w:val="24"/>
        </w:rPr>
        <w:t xml:space="preserve"> rel</w:t>
      </w:r>
      <w:r w:rsidR="00F40D7A" w:rsidRPr="00DC3548">
        <w:rPr>
          <w:rFonts w:ascii="Times New Roman" w:hAnsi="Times New Roman" w:cs="Times New Roman"/>
          <w:sz w:val="24"/>
          <w:szCs w:val="24"/>
        </w:rPr>
        <w:t>y</w:t>
      </w:r>
      <w:r w:rsidR="00955967" w:rsidRPr="00DC3548">
        <w:rPr>
          <w:rFonts w:ascii="Times New Roman" w:hAnsi="Times New Roman" w:cs="Times New Roman"/>
          <w:sz w:val="24"/>
          <w:szCs w:val="24"/>
        </w:rPr>
        <w:t xml:space="preserve"> heavily on Federal measures</w:t>
      </w:r>
      <w:r w:rsidR="00B31371" w:rsidRPr="00DC3548">
        <w:rPr>
          <w:rFonts w:ascii="Times New Roman" w:hAnsi="Times New Roman" w:cs="Times New Roman"/>
          <w:sz w:val="24"/>
          <w:szCs w:val="24"/>
        </w:rPr>
        <w:t xml:space="preserve"> and measures in other states</w:t>
      </w:r>
      <w:r w:rsidR="00955967" w:rsidRPr="00DC3548">
        <w:rPr>
          <w:rFonts w:ascii="Times New Roman" w:hAnsi="Times New Roman" w:cs="Times New Roman"/>
          <w:sz w:val="24"/>
          <w:szCs w:val="24"/>
        </w:rPr>
        <w:t>.</w:t>
      </w:r>
    </w:p>
    <w:p w:rsidR="00454E42" w:rsidRDefault="00454E42">
      <w:pPr>
        <w:rPr>
          <w:rFonts w:ascii="Times New Roman" w:hAnsi="Times New Roman" w:cs="Times New Roman"/>
          <w:sz w:val="24"/>
          <w:szCs w:val="24"/>
        </w:rPr>
      </w:pPr>
    </w:p>
    <w:p w:rsidR="00156EAF" w:rsidRPr="004144E5" w:rsidRDefault="00156EAF">
      <w:pPr>
        <w:rPr>
          <w:rFonts w:ascii="Times New Roman" w:hAnsi="Times New Roman" w:cs="Times New Roman"/>
          <w:sz w:val="24"/>
          <w:szCs w:val="24"/>
        </w:rPr>
      </w:pPr>
    </w:p>
    <w:sectPr w:rsidR="00156EAF" w:rsidRPr="004144E5" w:rsidSect="006476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86" w:rsidRDefault="00850A86" w:rsidP="002634F0">
      <w:r>
        <w:separator/>
      </w:r>
    </w:p>
  </w:endnote>
  <w:endnote w:type="continuationSeparator" w:id="0">
    <w:p w:rsidR="00850A86" w:rsidRDefault="00850A86" w:rsidP="0026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F" w:rsidRDefault="009A3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F" w:rsidRDefault="009A3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F" w:rsidRDefault="009A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86" w:rsidRDefault="00850A86" w:rsidP="002634F0">
      <w:r>
        <w:separator/>
      </w:r>
    </w:p>
  </w:footnote>
  <w:footnote w:type="continuationSeparator" w:id="0">
    <w:p w:rsidR="00850A86" w:rsidRDefault="00850A86" w:rsidP="002634F0">
      <w:r>
        <w:continuationSeparator/>
      </w:r>
    </w:p>
  </w:footnote>
  <w:footnote w:id="1">
    <w:p w:rsidR="00DC3548" w:rsidRPr="00DC3548" w:rsidRDefault="00DC3548" w:rsidP="00DC3548">
      <w:pPr>
        <w:pStyle w:val="FootnoteText"/>
        <w:rPr>
          <w:rFonts w:ascii="Times New Roman" w:hAnsi="Times New Roman" w:cs="Times New Roman"/>
        </w:rPr>
      </w:pPr>
      <w:r w:rsidRPr="00DC3548">
        <w:rPr>
          <w:rStyle w:val="FootnoteReference"/>
          <w:rFonts w:ascii="Times New Roman" w:hAnsi="Times New Roman" w:cs="Times New Roman"/>
        </w:rPr>
        <w:footnoteRef/>
      </w:r>
      <w:r w:rsidRPr="00DC3548">
        <w:rPr>
          <w:rFonts w:ascii="Times New Roman" w:hAnsi="Times New Roman" w:cs="Times New Roman"/>
        </w:rPr>
        <w:t xml:space="preserve"> </w:t>
      </w:r>
      <w:proofErr w:type="gramStart"/>
      <w:r w:rsidRPr="00DC3548">
        <w:rPr>
          <w:rFonts w:ascii="Times New Roman" w:hAnsi="Times New Roman" w:cs="Times New Roman"/>
        </w:rPr>
        <w:t>U.S. Environmental Protection Agency [EPA-HQ-OAR-2015-0500; FRL-].</w:t>
      </w:r>
      <w:proofErr w:type="gramEnd"/>
      <w:r w:rsidRPr="00DC3548">
        <w:rPr>
          <w:rFonts w:ascii="Times New Roman" w:hAnsi="Times New Roman" w:cs="Times New Roman"/>
        </w:rPr>
        <w:t xml:space="preserve">  “Notice of Availability of the Environmental Protection Agency’s Updated Ozone Transport Modeling Data for the 2008 National Ambient Air Quality Standard (NAAQS).” Found at: </w:t>
      </w:r>
      <w:hyperlink r:id="rId1" w:history="1">
        <w:r w:rsidRPr="00DC3548">
          <w:rPr>
            <w:rStyle w:val="Hyperlink"/>
            <w:rFonts w:ascii="Times New Roman" w:hAnsi="Times New Roman" w:cs="Times New Roman"/>
          </w:rPr>
          <w:t>http://www3.epa.gov/airtransport/pdfs/FR_Version_Transport_NODA.pdf</w:t>
        </w:r>
      </w:hyperlink>
      <w:r w:rsidRPr="00DC3548">
        <w:rPr>
          <w:rFonts w:ascii="Times New Roman" w:hAnsi="Times New Roman" w:cs="Times New Roman"/>
        </w:rPr>
        <w:t xml:space="preserve"> (signed by Stephen D. Page, July 23,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F" w:rsidRDefault="009A3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24475"/>
      <w:docPartObj>
        <w:docPartGallery w:val="Watermarks"/>
        <w:docPartUnique/>
      </w:docPartObj>
    </w:sdtPr>
    <w:sdtEndPr/>
    <w:sdtContent>
      <w:p w:rsidR="00850A86" w:rsidRDefault="00A9585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F" w:rsidRDefault="009A3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687"/>
    <w:multiLevelType w:val="hybridMultilevel"/>
    <w:tmpl w:val="6238915E"/>
    <w:lvl w:ilvl="0" w:tplc="E4C4E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604"/>
    <w:multiLevelType w:val="hybridMultilevel"/>
    <w:tmpl w:val="F6969BC0"/>
    <w:lvl w:ilvl="0" w:tplc="C26431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3340"/>
    <w:multiLevelType w:val="hybridMultilevel"/>
    <w:tmpl w:val="A1FE2890"/>
    <w:lvl w:ilvl="0" w:tplc="8D3816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D7D56"/>
    <w:multiLevelType w:val="hybridMultilevel"/>
    <w:tmpl w:val="348AFA30"/>
    <w:lvl w:ilvl="0" w:tplc="201C4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05694"/>
    <w:multiLevelType w:val="hybridMultilevel"/>
    <w:tmpl w:val="DE1C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60E7"/>
    <w:multiLevelType w:val="hybridMultilevel"/>
    <w:tmpl w:val="182EED82"/>
    <w:lvl w:ilvl="0" w:tplc="2EC49B9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9B6788"/>
    <w:multiLevelType w:val="hybridMultilevel"/>
    <w:tmpl w:val="300A3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6"/>
    <w:rsid w:val="00010EE9"/>
    <w:rsid w:val="00013E04"/>
    <w:rsid w:val="00055E40"/>
    <w:rsid w:val="00065A39"/>
    <w:rsid w:val="00083B0B"/>
    <w:rsid w:val="0008730F"/>
    <w:rsid w:val="00092AA5"/>
    <w:rsid w:val="00092B51"/>
    <w:rsid w:val="000A3E1A"/>
    <w:rsid w:val="000E12DE"/>
    <w:rsid w:val="000F10C0"/>
    <w:rsid w:val="00104E1E"/>
    <w:rsid w:val="001363E7"/>
    <w:rsid w:val="001406B9"/>
    <w:rsid w:val="00142A7D"/>
    <w:rsid w:val="00151A18"/>
    <w:rsid w:val="001537F8"/>
    <w:rsid w:val="00156EAF"/>
    <w:rsid w:val="0017539F"/>
    <w:rsid w:val="00195233"/>
    <w:rsid w:val="001F7167"/>
    <w:rsid w:val="002029BA"/>
    <w:rsid w:val="00232595"/>
    <w:rsid w:val="00247622"/>
    <w:rsid w:val="00247F3B"/>
    <w:rsid w:val="002527ED"/>
    <w:rsid w:val="002634F0"/>
    <w:rsid w:val="00275C3E"/>
    <w:rsid w:val="00291780"/>
    <w:rsid w:val="002B2C7B"/>
    <w:rsid w:val="002C71AC"/>
    <w:rsid w:val="002D0637"/>
    <w:rsid w:val="002D4799"/>
    <w:rsid w:val="002D5979"/>
    <w:rsid w:val="002F0395"/>
    <w:rsid w:val="002F33BF"/>
    <w:rsid w:val="00315436"/>
    <w:rsid w:val="00315E28"/>
    <w:rsid w:val="00351686"/>
    <w:rsid w:val="003656A4"/>
    <w:rsid w:val="00376722"/>
    <w:rsid w:val="00386D70"/>
    <w:rsid w:val="003924CB"/>
    <w:rsid w:val="00394D60"/>
    <w:rsid w:val="003A07DF"/>
    <w:rsid w:val="003A7D2B"/>
    <w:rsid w:val="003D6A4E"/>
    <w:rsid w:val="004006D1"/>
    <w:rsid w:val="004144E5"/>
    <w:rsid w:val="0041693E"/>
    <w:rsid w:val="00422888"/>
    <w:rsid w:val="00454E42"/>
    <w:rsid w:val="0046629D"/>
    <w:rsid w:val="00491EF1"/>
    <w:rsid w:val="004A18E3"/>
    <w:rsid w:val="004B12E4"/>
    <w:rsid w:val="004C63BB"/>
    <w:rsid w:val="004E2D39"/>
    <w:rsid w:val="004E3A3E"/>
    <w:rsid w:val="004E5889"/>
    <w:rsid w:val="005056E9"/>
    <w:rsid w:val="005220B9"/>
    <w:rsid w:val="00531640"/>
    <w:rsid w:val="00575D80"/>
    <w:rsid w:val="005779B6"/>
    <w:rsid w:val="00592979"/>
    <w:rsid w:val="005D10CA"/>
    <w:rsid w:val="005D6F26"/>
    <w:rsid w:val="005E130C"/>
    <w:rsid w:val="006048E0"/>
    <w:rsid w:val="00606B65"/>
    <w:rsid w:val="006106D4"/>
    <w:rsid w:val="00647653"/>
    <w:rsid w:val="006748E4"/>
    <w:rsid w:val="00681121"/>
    <w:rsid w:val="006A3FED"/>
    <w:rsid w:val="006B3C14"/>
    <w:rsid w:val="006C47A6"/>
    <w:rsid w:val="006E6331"/>
    <w:rsid w:val="006F1C08"/>
    <w:rsid w:val="00701818"/>
    <w:rsid w:val="00715DD5"/>
    <w:rsid w:val="00716C8A"/>
    <w:rsid w:val="007348A6"/>
    <w:rsid w:val="00741FE4"/>
    <w:rsid w:val="00743B9E"/>
    <w:rsid w:val="00766B33"/>
    <w:rsid w:val="00796E5A"/>
    <w:rsid w:val="007A0B5C"/>
    <w:rsid w:val="007B1E4A"/>
    <w:rsid w:val="007B3BC5"/>
    <w:rsid w:val="007B730E"/>
    <w:rsid w:val="007C0DBA"/>
    <w:rsid w:val="007C1C03"/>
    <w:rsid w:val="007C2295"/>
    <w:rsid w:val="007D2751"/>
    <w:rsid w:val="00816396"/>
    <w:rsid w:val="00820198"/>
    <w:rsid w:val="0082566E"/>
    <w:rsid w:val="00827C9B"/>
    <w:rsid w:val="00830101"/>
    <w:rsid w:val="00850A86"/>
    <w:rsid w:val="008543C8"/>
    <w:rsid w:val="00875FD9"/>
    <w:rsid w:val="008916A2"/>
    <w:rsid w:val="008B170F"/>
    <w:rsid w:val="008C2FBD"/>
    <w:rsid w:val="008D68B1"/>
    <w:rsid w:val="008F2753"/>
    <w:rsid w:val="008F4FAB"/>
    <w:rsid w:val="00921CDF"/>
    <w:rsid w:val="00941BA8"/>
    <w:rsid w:val="00955967"/>
    <w:rsid w:val="00956100"/>
    <w:rsid w:val="009612FE"/>
    <w:rsid w:val="00966A78"/>
    <w:rsid w:val="00982FC9"/>
    <w:rsid w:val="0098668D"/>
    <w:rsid w:val="00986980"/>
    <w:rsid w:val="009A395F"/>
    <w:rsid w:val="009A6DBE"/>
    <w:rsid w:val="009C1916"/>
    <w:rsid w:val="009C3DD8"/>
    <w:rsid w:val="009D2D8B"/>
    <w:rsid w:val="00A0737D"/>
    <w:rsid w:val="00A44FB9"/>
    <w:rsid w:val="00A50684"/>
    <w:rsid w:val="00A53583"/>
    <w:rsid w:val="00A54058"/>
    <w:rsid w:val="00A63054"/>
    <w:rsid w:val="00A75141"/>
    <w:rsid w:val="00A849DC"/>
    <w:rsid w:val="00A917A7"/>
    <w:rsid w:val="00A92527"/>
    <w:rsid w:val="00A94EB1"/>
    <w:rsid w:val="00A9585B"/>
    <w:rsid w:val="00A968E9"/>
    <w:rsid w:val="00AA10DC"/>
    <w:rsid w:val="00AA638F"/>
    <w:rsid w:val="00AB065E"/>
    <w:rsid w:val="00AD2B44"/>
    <w:rsid w:val="00AD4C3B"/>
    <w:rsid w:val="00AE2395"/>
    <w:rsid w:val="00B02670"/>
    <w:rsid w:val="00B10020"/>
    <w:rsid w:val="00B149D2"/>
    <w:rsid w:val="00B240C5"/>
    <w:rsid w:val="00B24E7A"/>
    <w:rsid w:val="00B307B4"/>
    <w:rsid w:val="00B31371"/>
    <w:rsid w:val="00B47553"/>
    <w:rsid w:val="00B65DEB"/>
    <w:rsid w:val="00B75C49"/>
    <w:rsid w:val="00B8150C"/>
    <w:rsid w:val="00C14CC2"/>
    <w:rsid w:val="00C262D6"/>
    <w:rsid w:val="00C410CE"/>
    <w:rsid w:val="00C70449"/>
    <w:rsid w:val="00C828C2"/>
    <w:rsid w:val="00C834D1"/>
    <w:rsid w:val="00CE0A88"/>
    <w:rsid w:val="00D0465C"/>
    <w:rsid w:val="00D3135F"/>
    <w:rsid w:val="00D3374A"/>
    <w:rsid w:val="00D54FF8"/>
    <w:rsid w:val="00DA5147"/>
    <w:rsid w:val="00DC3548"/>
    <w:rsid w:val="00DC3F71"/>
    <w:rsid w:val="00DC45D8"/>
    <w:rsid w:val="00DD354B"/>
    <w:rsid w:val="00DD6209"/>
    <w:rsid w:val="00DE1780"/>
    <w:rsid w:val="00DE4144"/>
    <w:rsid w:val="00DF7502"/>
    <w:rsid w:val="00E16B06"/>
    <w:rsid w:val="00E316B0"/>
    <w:rsid w:val="00E36CBF"/>
    <w:rsid w:val="00E4383A"/>
    <w:rsid w:val="00E52155"/>
    <w:rsid w:val="00E560DA"/>
    <w:rsid w:val="00EB1542"/>
    <w:rsid w:val="00EC18B9"/>
    <w:rsid w:val="00ED3860"/>
    <w:rsid w:val="00F1477D"/>
    <w:rsid w:val="00F242B7"/>
    <w:rsid w:val="00F35A26"/>
    <w:rsid w:val="00F40D7A"/>
    <w:rsid w:val="00F55808"/>
    <w:rsid w:val="00F647F5"/>
    <w:rsid w:val="00F70AC9"/>
    <w:rsid w:val="00F906AF"/>
    <w:rsid w:val="00FA38B4"/>
    <w:rsid w:val="00FC2F24"/>
    <w:rsid w:val="00FE169E"/>
    <w:rsid w:val="00FF1972"/>
    <w:rsid w:val="00FF1B5A"/>
    <w:rsid w:val="00FF664C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3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9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2634F0"/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34F0"/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34F0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4F0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4F0"/>
    <w:rPr>
      <w:vertAlign w:val="superscript"/>
    </w:rPr>
  </w:style>
  <w:style w:type="character" w:styleId="Hyperlink">
    <w:name w:val="Hyperlink"/>
    <w:basedOn w:val="DefaultParagraphFont"/>
    <w:uiPriority w:val="99"/>
    <w:rsid w:val="005779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60"/>
  </w:style>
  <w:style w:type="paragraph" w:styleId="Footer">
    <w:name w:val="footer"/>
    <w:basedOn w:val="Normal"/>
    <w:link w:val="FooterChar"/>
    <w:uiPriority w:val="99"/>
    <w:unhideWhenUsed/>
    <w:rsid w:val="00ED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60"/>
  </w:style>
  <w:style w:type="character" w:styleId="FootnoteReference">
    <w:name w:val="footnote reference"/>
    <w:basedOn w:val="DefaultParagraphFont"/>
    <w:unhideWhenUsed/>
    <w:rsid w:val="009D2D8B"/>
    <w:rPr>
      <w:vertAlign w:val="superscript"/>
    </w:rPr>
  </w:style>
  <w:style w:type="paragraph" w:styleId="Revision">
    <w:name w:val="Revision"/>
    <w:hidden/>
    <w:uiPriority w:val="99"/>
    <w:semiHidden/>
    <w:rsid w:val="00AA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3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9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2634F0"/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34F0"/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34F0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4F0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4F0"/>
    <w:rPr>
      <w:vertAlign w:val="superscript"/>
    </w:rPr>
  </w:style>
  <w:style w:type="character" w:styleId="Hyperlink">
    <w:name w:val="Hyperlink"/>
    <w:basedOn w:val="DefaultParagraphFont"/>
    <w:uiPriority w:val="99"/>
    <w:rsid w:val="005779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60"/>
  </w:style>
  <w:style w:type="paragraph" w:styleId="Footer">
    <w:name w:val="footer"/>
    <w:basedOn w:val="Normal"/>
    <w:link w:val="FooterChar"/>
    <w:uiPriority w:val="99"/>
    <w:unhideWhenUsed/>
    <w:rsid w:val="00ED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60"/>
  </w:style>
  <w:style w:type="character" w:styleId="FootnoteReference">
    <w:name w:val="footnote reference"/>
    <w:basedOn w:val="DefaultParagraphFont"/>
    <w:unhideWhenUsed/>
    <w:rsid w:val="009D2D8B"/>
    <w:rPr>
      <w:vertAlign w:val="superscript"/>
    </w:rPr>
  </w:style>
  <w:style w:type="paragraph" w:styleId="Revision">
    <w:name w:val="Revision"/>
    <w:hidden/>
    <w:uiPriority w:val="99"/>
    <w:semiHidden/>
    <w:rsid w:val="00AA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wcog.org/environment/committee/committee/documents.asp?COMMITTEE_ID=1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3.epa.gov/airtransport/pdfs/FR_Version_Transport_NODA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doefile01\aqddata2\Monitoring%20and%20Assessment%20Branch\AQ%20Planning\Monitoring%20Data%20Analysis\DVs%20&amp;%20Network%20Assessments\Official%20DV%20Trend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doefile01\aqddata2\Monitoring%20and%20Assessment%20Branch\AQ%20Planning\Emission%20Inventories%20&amp;%20Modeling\~%20Official%20EI%20TRENDS%20-%20ongoing\~%20Official%20NEI%20Trend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doefile01\aqddata2\Monitoring%20and%20Assessment%20Branch\AQ%20Planning\Emission%20Inventories%20&amp;%20Modeling\~%20Official%20EI%20TRENDS%20-%20ongoing\NP%20over%20ti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'DVs per monitor'!$D$26:$M$26</c:f>
              <c:strCache>
                <c:ptCount val="1"/>
                <c:pt idx="0">
                  <c:v>River Terrace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numRef>
              <c:f>'DVs per monitor'!$N$25:$Y$25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monitor'!$N$26:$Y$26</c:f>
              <c:numCache>
                <c:formatCode>0.0</c:formatCode>
                <c:ptCount val="12"/>
                <c:pt idx="0">
                  <c:v>16.399999999999999</c:v>
                </c:pt>
                <c:pt idx="1">
                  <c:v>15.8</c:v>
                </c:pt>
                <c:pt idx="2">
                  <c:v>15.1</c:v>
                </c:pt>
                <c:pt idx="3">
                  <c:v>14.8</c:v>
                </c:pt>
                <c:pt idx="4">
                  <c:v>14.4</c:v>
                </c:pt>
                <c:pt idx="5">
                  <c:v>14</c:v>
                </c:pt>
                <c:pt idx="6">
                  <c:v>13</c:v>
                </c:pt>
                <c:pt idx="7">
                  <c:v>12</c:v>
                </c:pt>
                <c:pt idx="8">
                  <c:v>11.2</c:v>
                </c:pt>
                <c:pt idx="9">
                  <c:v>10.6</c:v>
                </c:pt>
                <c:pt idx="10" formatCode="General">
                  <c:v>10.4</c:v>
                </c:pt>
                <c:pt idx="11" formatCode="General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'DVs per monitor'!$D$27:$M$27</c:f>
              <c:strCache>
                <c:ptCount val="1"/>
                <c:pt idx="0">
                  <c:v>Hains Point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numRef>
              <c:f>'DVs per monitor'!$N$25:$Y$25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monitor'!$N$27:$Y$27</c:f>
              <c:numCache>
                <c:formatCode>0.0</c:formatCode>
                <c:ptCount val="12"/>
                <c:pt idx="0">
                  <c:v>15.3</c:v>
                </c:pt>
                <c:pt idx="1">
                  <c:v>14.7</c:v>
                </c:pt>
                <c:pt idx="2">
                  <c:v>14.5</c:v>
                </c:pt>
                <c:pt idx="3">
                  <c:v>14.5</c:v>
                </c:pt>
                <c:pt idx="4">
                  <c:v>14.5</c:v>
                </c:pt>
                <c:pt idx="5">
                  <c:v>14.2</c:v>
                </c:pt>
                <c:pt idx="6">
                  <c:v>13.1</c:v>
                </c:pt>
                <c:pt idx="7">
                  <c:v>12.1</c:v>
                </c:pt>
                <c:pt idx="8">
                  <c:v>11.2</c:v>
                </c:pt>
                <c:pt idx="9">
                  <c:v>10.5</c:v>
                </c:pt>
                <c:pt idx="10" formatCode="General">
                  <c:v>10.3</c:v>
                </c:pt>
                <c:pt idx="11" formatCode="General">
                  <c:v>9.4</c:v>
                </c:pt>
              </c:numCache>
            </c:numRef>
          </c:val>
        </c:ser>
        <c:ser>
          <c:idx val="2"/>
          <c:order val="2"/>
          <c:tx>
            <c:strRef>
              <c:f>'DVs per monitor'!$D$28:$M$28</c:f>
              <c:strCache>
                <c:ptCount val="1"/>
                <c:pt idx="0">
                  <c:v>McMillan </c:v>
                </c:pt>
              </c:strCache>
            </c:strRef>
          </c:tx>
          <c:invertIfNegative val="0"/>
          <c:cat>
            <c:numRef>
              <c:f>'DVs per monitor'!$N$25:$Y$25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monitor'!$N$28:$Y$28</c:f>
              <c:numCache>
                <c:formatCode>0.0</c:formatCode>
                <c:ptCount val="12"/>
                <c:pt idx="0">
                  <c:v>15.6</c:v>
                </c:pt>
                <c:pt idx="1">
                  <c:v>15.2</c:v>
                </c:pt>
                <c:pt idx="2">
                  <c:v>14.7</c:v>
                </c:pt>
                <c:pt idx="3">
                  <c:v>14.4</c:v>
                </c:pt>
                <c:pt idx="4">
                  <c:v>14</c:v>
                </c:pt>
                <c:pt idx="5">
                  <c:v>13.5</c:v>
                </c:pt>
                <c:pt idx="6">
                  <c:v>12.5</c:v>
                </c:pt>
                <c:pt idx="7">
                  <c:v>11.6</c:v>
                </c:pt>
                <c:pt idx="8">
                  <c:v>10.8</c:v>
                </c:pt>
                <c:pt idx="9">
                  <c:v>10.3</c:v>
                </c:pt>
                <c:pt idx="10" formatCode="General">
                  <c:v>10.1</c:v>
                </c:pt>
                <c:pt idx="11" formatCode="General">
                  <c:v>9.6999999999999993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7271552"/>
        <c:axId val="34661120"/>
      </c:barChart>
      <c:catAx>
        <c:axId val="1172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34661120"/>
        <c:crosses val="autoZero"/>
        <c:auto val="1"/>
        <c:lblAlgn val="ctr"/>
        <c:lblOffset val="100"/>
        <c:noMultiLvlLbl val="0"/>
      </c:catAx>
      <c:valAx>
        <c:axId val="34661120"/>
        <c:scaling>
          <c:orientation val="minMax"/>
          <c:max val="18"/>
          <c:min val="8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(µg/m</a:t>
                </a:r>
                <a:r>
                  <a:rPr lang="en-US" sz="1050" baseline="0"/>
                  <a:t>3</a:t>
                </a:r>
                <a:r>
                  <a:rPr lang="en-US" baseline="0"/>
                  <a:t>)</a:t>
                </a:r>
                <a:endParaRPr lang="en-US"/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17271552"/>
        <c:crosses val="autoZero"/>
        <c:crossBetween val="between"/>
        <c:majorUnit val="1"/>
      </c:valAx>
      <c:spPr>
        <a:noFill/>
        <a:ln>
          <a:solidFill>
            <a:sysClr val="windowText" lastClr="000000"/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'DVs per monitor'!$D$31:$M$31</c:f>
              <c:strCache>
                <c:ptCount val="1"/>
                <c:pt idx="0">
                  <c:v>River Terrace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'DVs per monitor'!$N$30:$Y$30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monitor'!$N$31:$Y$31</c:f>
              <c:numCache>
                <c:formatCode>General</c:formatCode>
                <c:ptCount val="12"/>
                <c:pt idx="0">
                  <c:v>45</c:v>
                </c:pt>
                <c:pt idx="1">
                  <c:v>44</c:v>
                </c:pt>
                <c:pt idx="2">
                  <c:v>42</c:v>
                </c:pt>
                <c:pt idx="3">
                  <c:v>38</c:v>
                </c:pt>
                <c:pt idx="4">
                  <c:v>37</c:v>
                </c:pt>
                <c:pt idx="5">
                  <c:v>35</c:v>
                </c:pt>
                <c:pt idx="6">
                  <c:v>32</c:v>
                </c:pt>
                <c:pt idx="7">
                  <c:v>29</c:v>
                </c:pt>
                <c:pt idx="8">
                  <c:v>27</c:v>
                </c:pt>
                <c:pt idx="9">
                  <c:v>26</c:v>
                </c:pt>
                <c:pt idx="10">
                  <c:v>27</c:v>
                </c:pt>
                <c:pt idx="11">
                  <c:v>25</c:v>
                </c:pt>
              </c:numCache>
            </c:numRef>
          </c:val>
        </c:ser>
        <c:ser>
          <c:idx val="1"/>
          <c:order val="1"/>
          <c:tx>
            <c:strRef>
              <c:f>'DVs per monitor'!$D$32:$M$32</c:f>
              <c:strCache>
                <c:ptCount val="1"/>
                <c:pt idx="0">
                  <c:v>Hains Point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invertIfNegative val="0"/>
          <c:cat>
            <c:numRef>
              <c:f>'DVs per monitor'!$N$30:$Y$30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monitor'!$N$32:$Y$32</c:f>
              <c:numCache>
                <c:formatCode>General</c:formatCode>
                <c:ptCount val="12"/>
                <c:pt idx="0">
                  <c:v>38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28</c:v>
                </c:pt>
                <c:pt idx="8">
                  <c:v>26</c:v>
                </c:pt>
                <c:pt idx="9">
                  <c:v>24</c:v>
                </c:pt>
                <c:pt idx="10">
                  <c:v>25</c:v>
                </c:pt>
                <c:pt idx="11">
                  <c:v>23</c:v>
                </c:pt>
              </c:numCache>
            </c:numRef>
          </c:val>
        </c:ser>
        <c:ser>
          <c:idx val="2"/>
          <c:order val="2"/>
          <c:tx>
            <c:strRef>
              <c:f>'DVs per monitor'!$D$33:$M$33</c:f>
              <c:strCache>
                <c:ptCount val="1"/>
                <c:pt idx="0">
                  <c:v>McMillan </c:v>
                </c:pt>
              </c:strCache>
            </c:strRef>
          </c:tx>
          <c:invertIfNegative val="0"/>
          <c:cat>
            <c:numRef>
              <c:f>'DVs per monitor'!$N$30:$Y$30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'DVs per monitor'!$N$33:$Y$33</c:f>
              <c:numCache>
                <c:formatCode>General</c:formatCode>
                <c:ptCount val="12"/>
                <c:pt idx="0">
                  <c:v>41</c:v>
                </c:pt>
                <c:pt idx="1">
                  <c:v>40</c:v>
                </c:pt>
                <c:pt idx="2">
                  <c:v>37</c:v>
                </c:pt>
                <c:pt idx="3">
                  <c:v>35</c:v>
                </c:pt>
                <c:pt idx="4">
                  <c:v>34</c:v>
                </c:pt>
                <c:pt idx="5">
                  <c:v>34</c:v>
                </c:pt>
                <c:pt idx="6">
                  <c:v>32</c:v>
                </c:pt>
                <c:pt idx="7">
                  <c:v>29</c:v>
                </c:pt>
                <c:pt idx="8">
                  <c:v>26</c:v>
                </c:pt>
                <c:pt idx="9">
                  <c:v>25</c:v>
                </c:pt>
                <c:pt idx="10">
                  <c:v>25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979840"/>
        <c:axId val="34981376"/>
      </c:barChart>
      <c:catAx>
        <c:axId val="349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34981376"/>
        <c:crosses val="autoZero"/>
        <c:auto val="1"/>
        <c:lblAlgn val="ctr"/>
        <c:lblOffset val="100"/>
        <c:noMultiLvlLbl val="0"/>
      </c:catAx>
      <c:valAx>
        <c:axId val="34981376"/>
        <c:scaling>
          <c:orientation val="minMax"/>
          <c:max val="55"/>
          <c:min val="1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</a:t>
                </a:r>
                <a:r>
                  <a:rPr lang="en-US" baseline="0"/>
                  <a:t> (</a:t>
                </a:r>
                <a:r>
                  <a:rPr lang="en-US" sz="1050" baseline="0"/>
                  <a:t>µg/m3</a:t>
                </a:r>
                <a:r>
                  <a:rPr lang="en-US" baseline="0"/>
                  <a:t>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97984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2011 PM</a:t>
            </a:r>
            <a:r>
              <a:rPr lang="en-US" sz="1400" baseline="-25000"/>
              <a:t>2.5</a:t>
            </a:r>
            <a:r>
              <a:rPr lang="en-US" sz="1400"/>
              <a:t>-PRI</a:t>
            </a:r>
            <a:r>
              <a:rPr lang="en-US" sz="1400" baseline="0"/>
              <a:t> Emissions </a:t>
            </a:r>
          </a:p>
          <a:p>
            <a:pPr>
              <a:defRPr/>
            </a:pPr>
            <a:r>
              <a:rPr lang="en-US" sz="1400" baseline="0"/>
              <a:t>in the District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7894455380577429"/>
                  <c:y val="6.01932050160396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108423947006624"/>
                  <c:y val="-0.206255780527434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656386701662292"/>
                  <c:y val="6.27221597300337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ONGOING!$P$21:$P$24</c:f>
              <c:strCache>
                <c:ptCount val="4"/>
                <c:pt idx="0">
                  <c:v>point</c:v>
                </c:pt>
                <c:pt idx="1">
                  <c:v>area</c:v>
                </c:pt>
                <c:pt idx="2">
                  <c:v>nonroad</c:v>
                </c:pt>
                <c:pt idx="3">
                  <c:v>onroad</c:v>
                </c:pt>
              </c:strCache>
            </c:strRef>
          </c:cat>
          <c:val>
            <c:numRef>
              <c:f>ONGOING!$Q$21:$Q$24</c:f>
              <c:numCache>
                <c:formatCode>0.00</c:formatCode>
                <c:ptCount val="4"/>
                <c:pt idx="0">
                  <c:v>34.602001809000001</c:v>
                </c:pt>
                <c:pt idx="1">
                  <c:v>1141.5984763644799</c:v>
                </c:pt>
                <c:pt idx="2">
                  <c:v>203.88392107920001</c:v>
                </c:pt>
                <c:pt idx="3">
                  <c:v>223.19897671099997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'fuel combustion'!$V$22</c:f>
              <c:strCache>
                <c:ptCount val="1"/>
                <c:pt idx="0">
                  <c:v>industrial</c:v>
                </c:pt>
              </c:strCache>
            </c:strRef>
          </c:tx>
          <c:marker>
            <c:symbol val="none"/>
          </c:marker>
          <c:cat>
            <c:numRef>
              <c:f>'fuel combustion'!$W$21:$Z$21</c:f>
              <c:numCache>
                <c:formatCode>0</c:formatCode>
                <c:ptCount val="4"/>
                <c:pt idx="0">
                  <c:v>2002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'fuel combustion'!$W$22:$Z$22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'fuel combustion'!$V$23</c:f>
              <c:strCache>
                <c:ptCount val="1"/>
                <c:pt idx="0">
                  <c:v>comm/inst</c:v>
                </c:pt>
              </c:strCache>
            </c:strRef>
          </c:tx>
          <c:marker>
            <c:symbol val="none"/>
          </c:marker>
          <c:cat>
            <c:numRef>
              <c:f>'fuel combustion'!$W$21:$Z$21</c:f>
              <c:numCache>
                <c:formatCode>0</c:formatCode>
                <c:ptCount val="4"/>
                <c:pt idx="0">
                  <c:v>2002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'fuel combustion'!$W$23:$Z$23</c:f>
              <c:numCache>
                <c:formatCode>0.00</c:formatCode>
                <c:ptCount val="4"/>
                <c:pt idx="0">
                  <c:v>55.014572622509505</c:v>
                </c:pt>
                <c:pt idx="1">
                  <c:v>55.014572622509505</c:v>
                </c:pt>
                <c:pt idx="2">
                  <c:v>0</c:v>
                </c:pt>
                <c:pt idx="3">
                  <c:v>9.3309999999999995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'fuel combustion'!$V$24</c:f>
              <c:strCache>
                <c:ptCount val="1"/>
                <c:pt idx="0">
                  <c:v>residential/not RWC</c:v>
                </c:pt>
              </c:strCache>
            </c:strRef>
          </c:tx>
          <c:marker>
            <c:symbol val="none"/>
          </c:marker>
          <c:cat>
            <c:numRef>
              <c:f>'fuel combustion'!$W$21:$Z$21</c:f>
              <c:numCache>
                <c:formatCode>0</c:formatCode>
                <c:ptCount val="4"/>
                <c:pt idx="0">
                  <c:v>2002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'fuel combustion'!$W$24:$Z$24</c:f>
              <c:numCache>
                <c:formatCode>0.00</c:formatCode>
                <c:ptCount val="4"/>
                <c:pt idx="0">
                  <c:v>15.030000739098501</c:v>
                </c:pt>
                <c:pt idx="1">
                  <c:v>15.030000739098501</c:v>
                </c:pt>
                <c:pt idx="2">
                  <c:v>10.630389060000001</c:v>
                </c:pt>
                <c:pt idx="3">
                  <c:v>12.17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'fuel combustion'!$V$25</c:f>
              <c:strCache>
                <c:ptCount val="1"/>
                <c:pt idx="0">
                  <c:v>residential/RWC</c:v>
                </c:pt>
              </c:strCache>
            </c:strRef>
          </c:tx>
          <c:marker>
            <c:symbol val="none"/>
          </c:marker>
          <c:cat>
            <c:numRef>
              <c:f>'fuel combustion'!$W$21:$Z$21</c:f>
              <c:numCache>
                <c:formatCode>0</c:formatCode>
                <c:ptCount val="4"/>
                <c:pt idx="0">
                  <c:v>2002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'fuel combustion'!$W$25:$Z$25</c:f>
              <c:numCache>
                <c:formatCode>0.00</c:formatCode>
                <c:ptCount val="4"/>
                <c:pt idx="0">
                  <c:v>84.410000033999978</c:v>
                </c:pt>
                <c:pt idx="1">
                  <c:v>84.410000033999978</c:v>
                </c:pt>
                <c:pt idx="2">
                  <c:v>651.88003999999978</c:v>
                </c:pt>
                <c:pt idx="3">
                  <c:v>641.10572799999989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01920"/>
        <c:axId val="38403456"/>
      </c:lineChart>
      <c:catAx>
        <c:axId val="384019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38403456"/>
        <c:crossesAt val="0"/>
        <c:auto val="1"/>
        <c:lblAlgn val="ctr"/>
        <c:lblOffset val="100"/>
        <c:noMultiLvlLbl val="0"/>
      </c:catAx>
      <c:valAx>
        <c:axId val="38403456"/>
        <c:scaling>
          <c:orientation val="minMax"/>
          <c:max val="7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Emissions</a:t>
                </a:r>
                <a:r>
                  <a:rPr lang="en-US" baseline="0"/>
                  <a:t> (tons per year)</a:t>
                </a:r>
                <a:endParaRPr lang="en-US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38401920"/>
        <c:crosses val="autoZero"/>
        <c:crossBetween val="between"/>
        <c:majorUnit val="100"/>
        <c:minorUnit val="2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0.13566</cdr:x>
      <cdr:y>0.26446</cdr:y>
    </cdr:from>
    <cdr:to>
      <cdr:x>0.97082</cdr:x>
      <cdr:y>0.26446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705502" y="957207"/>
          <a:ext cx="434340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0.4967</cdr:x>
      <cdr:y>0.14955</cdr:y>
    </cdr:from>
    <cdr:to>
      <cdr:x>0.97106</cdr:x>
      <cdr:y>0.22922</cdr:y>
    </cdr:to>
    <cdr:sp macro="" textlink="">
      <cdr:nvSpPr>
        <cdr:cNvPr id="7" name="TextBox 9"/>
        <cdr:cNvSpPr txBox="1"/>
      </cdr:nvSpPr>
      <cdr:spPr>
        <a:xfrm xmlns:a="http://schemas.openxmlformats.org/drawingml/2006/main">
          <a:off x="2583168" y="519644"/>
          <a:ext cx="2466980" cy="27683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>
              <a:solidFill>
                <a:srgbClr val="FF0000"/>
              </a:solidFill>
            </a:rPr>
            <a:t>2006 </a:t>
          </a:r>
          <a:r>
            <a:rPr lang="en-US" sz="1100" baseline="0">
              <a:solidFill>
                <a:srgbClr val="FF0000"/>
              </a:solidFill>
            </a:rPr>
            <a:t>Annual PM</a:t>
          </a:r>
          <a:r>
            <a:rPr lang="en-US" sz="1100" baseline="-25000">
              <a:solidFill>
                <a:srgbClr val="FF0000"/>
              </a:solidFill>
            </a:rPr>
            <a:t>2.5</a:t>
          </a:r>
          <a:r>
            <a:rPr lang="en-US" sz="1100" baseline="0">
              <a:solidFill>
                <a:srgbClr val="FF0000"/>
              </a:solidFill>
            </a:rPr>
            <a:t> NAAQS: 15.0 </a:t>
          </a:r>
          <a:r>
            <a:rPr lang="en-US" sz="1200" baseline="0">
              <a:solidFill>
                <a:srgbClr val="FF0000"/>
              </a:solidFill>
            </a:rPr>
            <a:t>µg/m</a:t>
          </a:r>
          <a:r>
            <a:rPr lang="en-US" sz="1200" baseline="30000">
              <a:solidFill>
                <a:srgbClr val="FF0000"/>
              </a:solidFill>
            </a:rPr>
            <a:t>3</a:t>
          </a:r>
          <a:endParaRPr lang="en-US" sz="1100" baseline="30000"/>
        </a:p>
      </cdr:txBody>
    </cdr:sp>
  </cdr:relSizeAnchor>
  <cdr:relSizeAnchor xmlns:cdr="http://schemas.openxmlformats.org/drawingml/2006/chartDrawing">
    <cdr:from>
      <cdr:x>0.13371</cdr:x>
      <cdr:y>0.48522</cdr:y>
    </cdr:from>
    <cdr:to>
      <cdr:x>0.96887</cdr:x>
      <cdr:y>0.48522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695360" y="1686004"/>
          <a:ext cx="434337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0.70147</cdr:x>
      <cdr:y>0.3326</cdr:y>
    </cdr:from>
    <cdr:to>
      <cdr:x>0.97204</cdr:x>
      <cdr:y>0.44901</cdr:y>
    </cdr:to>
    <cdr:sp macro="" textlink="">
      <cdr:nvSpPr>
        <cdr:cNvPr id="8" name="TextBox 9"/>
        <cdr:cNvSpPr txBox="1"/>
      </cdr:nvSpPr>
      <cdr:spPr>
        <a:xfrm xmlns:a="http://schemas.openxmlformats.org/drawingml/2006/main">
          <a:off x="3648076" y="1155700"/>
          <a:ext cx="1407164" cy="40449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>
              <a:solidFill>
                <a:srgbClr val="FF0000"/>
              </a:solidFill>
            </a:rPr>
            <a:t>2012 </a:t>
          </a:r>
          <a:r>
            <a:rPr lang="en-US" sz="1100" baseline="0">
              <a:solidFill>
                <a:srgbClr val="FF0000"/>
              </a:solidFill>
            </a:rPr>
            <a:t>Annual PM</a:t>
          </a:r>
          <a:r>
            <a:rPr lang="en-US" sz="1100" baseline="-25000">
              <a:solidFill>
                <a:srgbClr val="FF0000"/>
              </a:solidFill>
            </a:rPr>
            <a:t>2.5</a:t>
          </a:r>
          <a:r>
            <a:rPr lang="en-US" sz="1100" baseline="0">
              <a:solidFill>
                <a:srgbClr val="FF0000"/>
              </a:solidFill>
            </a:rPr>
            <a:t> NAAQS: 12.0 </a:t>
          </a:r>
          <a:r>
            <a:rPr lang="en-US" sz="1200" baseline="0">
              <a:solidFill>
                <a:srgbClr val="FF0000"/>
              </a:solidFill>
            </a:rPr>
            <a:t>µg/m</a:t>
          </a:r>
          <a:r>
            <a:rPr lang="en-US" sz="1200" baseline="30000">
              <a:solidFill>
                <a:srgbClr val="FF0000"/>
              </a:solidFill>
            </a:rPr>
            <a:t>3</a:t>
          </a:r>
          <a:endParaRPr lang="en-US" sz="1100" baseline="30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0.11434</cdr:x>
      <cdr:y>0.41351</cdr:y>
    </cdr:from>
    <cdr:to>
      <cdr:x>0.97022</cdr:x>
      <cdr:y>0.41351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00075" y="1457325"/>
          <a:ext cx="449192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0.46461</cdr:x>
      <cdr:y>0.2973</cdr:y>
    </cdr:from>
    <cdr:to>
      <cdr:x>0.9672</cdr:x>
      <cdr:y>0.37912</cdr:y>
    </cdr:to>
    <cdr:sp macro="" textlink="">
      <cdr:nvSpPr>
        <cdr:cNvPr id="4" name="TextBox 9"/>
        <cdr:cNvSpPr txBox="1"/>
      </cdr:nvSpPr>
      <cdr:spPr>
        <a:xfrm xmlns:a="http://schemas.openxmlformats.org/drawingml/2006/main">
          <a:off x="2438401" y="1047760"/>
          <a:ext cx="2637731" cy="28835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>
              <a:solidFill>
                <a:srgbClr val="FF0000"/>
              </a:solidFill>
            </a:rPr>
            <a:t>2006 &amp; 2012 </a:t>
          </a:r>
          <a:r>
            <a:rPr lang="en-US" sz="1100" baseline="0">
              <a:solidFill>
                <a:srgbClr val="FF0000"/>
              </a:solidFill>
            </a:rPr>
            <a:t>Daily PM</a:t>
          </a:r>
          <a:r>
            <a:rPr lang="en-US" sz="1100" baseline="-25000">
              <a:solidFill>
                <a:srgbClr val="FF0000"/>
              </a:solidFill>
            </a:rPr>
            <a:t>2.5</a:t>
          </a:r>
          <a:r>
            <a:rPr lang="en-US" sz="1100" baseline="0">
              <a:solidFill>
                <a:srgbClr val="FF0000"/>
              </a:solidFill>
            </a:rPr>
            <a:t> NAAQS: 35 </a:t>
          </a:r>
          <a:r>
            <a:rPr lang="en-US" sz="1200" baseline="0">
              <a:solidFill>
                <a:srgbClr val="FF0000"/>
              </a:solidFill>
            </a:rPr>
            <a:t>µg/m</a:t>
          </a:r>
          <a:r>
            <a:rPr lang="en-US" sz="1200" baseline="30000">
              <a:solidFill>
                <a:srgbClr val="FF0000"/>
              </a:solidFill>
            </a:rPr>
            <a:t>3</a:t>
          </a:r>
          <a:endParaRPr lang="en-US" sz="1100" baseline="30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02CA-4429-48C5-B79A-7AC50273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ServUS</cp:lastModifiedBy>
  <cp:revision>3</cp:revision>
  <cp:lastPrinted>2014-05-13T13:35:00Z</cp:lastPrinted>
  <dcterms:created xsi:type="dcterms:W3CDTF">2015-10-28T17:16:00Z</dcterms:created>
  <dcterms:modified xsi:type="dcterms:W3CDTF">2015-11-05T19:55:00Z</dcterms:modified>
</cp:coreProperties>
</file>