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9F" w:rsidRDefault="00426A44" w:rsidP="00D57CB4">
      <w:pPr>
        <w:pStyle w:val="Header"/>
        <w:tabs>
          <w:tab w:val="clear" w:pos="4320"/>
          <w:tab w:val="clear" w:pos="8640"/>
          <w:tab w:val="left" w:pos="6810"/>
        </w:tabs>
      </w:pPr>
      <w:r>
        <w:t>July 3, 2018</w:t>
      </w:r>
    </w:p>
    <w:p w:rsidR="00D57CB4" w:rsidRPr="001159C4" w:rsidRDefault="00D57CB4" w:rsidP="00D57CB4">
      <w:pPr>
        <w:pStyle w:val="Header"/>
        <w:tabs>
          <w:tab w:val="clear" w:pos="4320"/>
          <w:tab w:val="clear" w:pos="8640"/>
          <w:tab w:val="left" w:pos="6810"/>
        </w:tabs>
      </w:pPr>
      <w:r>
        <w:tab/>
      </w:r>
    </w:p>
    <w:p w:rsidR="001C039F" w:rsidRDefault="00426A44" w:rsidP="001C039F">
      <w:r>
        <w:t>Mr. Herbert H. Jackson, Jr.</w:t>
      </w:r>
    </w:p>
    <w:p w:rsidR="00426A44" w:rsidRDefault="00426A44" w:rsidP="001C039F">
      <w:r>
        <w:t>Chief Administrative Officer</w:t>
      </w:r>
    </w:p>
    <w:p w:rsidR="001C039F" w:rsidRDefault="00426A44" w:rsidP="001C039F">
      <w:r>
        <w:t>U.S. Government Publishing Office</w:t>
      </w:r>
    </w:p>
    <w:p w:rsidR="001C039F" w:rsidRDefault="00426A44" w:rsidP="001C039F">
      <w:r>
        <w:t>732 North Capitol Street NW</w:t>
      </w:r>
    </w:p>
    <w:p w:rsidR="001C039F" w:rsidRDefault="00426A44" w:rsidP="001C039F">
      <w:r>
        <w:t>Washington, DC 20401</w:t>
      </w:r>
    </w:p>
    <w:p w:rsidR="001C039F" w:rsidRPr="006243B7" w:rsidRDefault="001C039F" w:rsidP="001C039F"/>
    <w:p w:rsidR="004E6B44" w:rsidRPr="006243B7" w:rsidRDefault="000F466A" w:rsidP="004E6B44">
      <w:pPr>
        <w:ind w:left="720" w:hanging="720"/>
      </w:pPr>
      <w:r>
        <w:rPr>
          <w:b/>
          <w:bCs/>
        </w:rPr>
        <w:t>RE:</w:t>
      </w:r>
      <w:r>
        <w:rPr>
          <w:b/>
          <w:bCs/>
        </w:rPr>
        <w:tab/>
        <w:t xml:space="preserve">Permit </w:t>
      </w:r>
      <w:r w:rsidR="00426A44">
        <w:rPr>
          <w:b/>
          <w:bCs/>
        </w:rPr>
        <w:t>Nos. 7</w:t>
      </w:r>
      <w:r w:rsidR="00952BFF">
        <w:rPr>
          <w:b/>
          <w:bCs/>
        </w:rPr>
        <w:t>117 through 7120 and 7210</w:t>
      </w:r>
      <w:r w:rsidR="00426A44">
        <w:rPr>
          <w:b/>
          <w:bCs/>
        </w:rPr>
        <w:t xml:space="preserve"> to Operate Five Cold Solvent Degreasing Units</w:t>
      </w:r>
    </w:p>
    <w:p w:rsidR="004E6B44" w:rsidRPr="006243B7" w:rsidRDefault="004E6B44" w:rsidP="004E6B44"/>
    <w:p w:rsidR="004E6B44" w:rsidRPr="006243B7" w:rsidRDefault="00B339BC" w:rsidP="004E6B44">
      <w:r>
        <w:t xml:space="preserve">Dear Mr. </w:t>
      </w:r>
      <w:r w:rsidR="00426A44">
        <w:t>Jackson</w:t>
      </w:r>
      <w:r w:rsidR="004E6B44">
        <w:t>:</w:t>
      </w:r>
    </w:p>
    <w:p w:rsidR="004E6B44" w:rsidRPr="006243B7" w:rsidRDefault="004E6B44" w:rsidP="004E6B44">
      <w:pPr>
        <w:rPr>
          <w:rFonts w:ascii="Courier" w:hAnsi="Courier"/>
        </w:rPr>
      </w:pPr>
    </w:p>
    <w:p w:rsidR="00952BFF" w:rsidRDefault="004E6B44" w:rsidP="004E6B44">
      <w:pPr>
        <w:tabs>
          <w:tab w:val="center" w:pos="4680"/>
        </w:tabs>
      </w:pPr>
      <w:r w:rsidRPr="00D3090C">
        <w:t xml:space="preserve">Pursuant to sections 200.1 and 200.2 of Title 20 of the District of Columbia Municipal Regulations (20 DCMR), a permit from the </w:t>
      </w:r>
      <w:r w:rsidR="0080322E">
        <w:t xml:space="preserve">Department of </w:t>
      </w:r>
      <w:r w:rsidR="00426A44">
        <w:t>Energy and</w:t>
      </w:r>
      <w:r w:rsidR="0080322E">
        <w:t xml:space="preserve"> Environment (the Department)</w:t>
      </w:r>
      <w:r w:rsidRPr="00D3090C">
        <w:t xml:space="preserve"> shall be obtained before any person can construct </w:t>
      </w:r>
      <w:r w:rsidR="00426A44">
        <w:t>or</w:t>
      </w:r>
      <w:r w:rsidRPr="00D3090C">
        <w:t xml:space="preserve"> operate </w:t>
      </w:r>
      <w:r w:rsidR="0080322E">
        <w:t xml:space="preserve">a </w:t>
      </w:r>
      <w:r w:rsidRPr="00D3090C">
        <w:t xml:space="preserve">stationary source in the District of Columbia. </w:t>
      </w:r>
      <w:r w:rsidR="0080322E">
        <w:t>The application</w:t>
      </w:r>
      <w:r w:rsidR="00426A44">
        <w:t>s</w:t>
      </w:r>
      <w:r w:rsidR="0080322E">
        <w:t xml:space="preserve"> of </w:t>
      </w:r>
      <w:r w:rsidR="00212187">
        <w:t xml:space="preserve">the </w:t>
      </w:r>
      <w:r w:rsidR="00426A44">
        <w:t>U.S. Government Publishing Office</w:t>
      </w:r>
      <w:r w:rsidR="00B339BC">
        <w:t xml:space="preserve"> </w:t>
      </w:r>
      <w:r w:rsidR="0080322E">
        <w:t>(the Permittee)</w:t>
      </w:r>
      <w:r w:rsidRPr="00D3090C">
        <w:t xml:space="preserve"> </w:t>
      </w:r>
      <w:r>
        <w:t>to</w:t>
      </w:r>
      <w:r w:rsidR="000F466A">
        <w:t xml:space="preserve"> </w:t>
      </w:r>
      <w:r w:rsidR="00426A44">
        <w:t xml:space="preserve">operate the five cold solvent degreasing units </w:t>
      </w:r>
      <w:r w:rsidR="000206F6">
        <w:t xml:space="preserve">(cold cleaning machines) </w:t>
      </w:r>
      <w:r w:rsidR="00426A44">
        <w:t xml:space="preserve">listed below, all located at </w:t>
      </w:r>
      <w:r w:rsidR="00952BFF">
        <w:t>732 North Capitol Street NW, Washington DC, have been received.</w:t>
      </w:r>
    </w:p>
    <w:p w:rsidR="00952BFF" w:rsidRDefault="00952BFF" w:rsidP="004E6B44">
      <w:pPr>
        <w:tabs>
          <w:tab w:val="center" w:pos="4680"/>
        </w:tabs>
      </w:pPr>
    </w:p>
    <w:tbl>
      <w:tblPr>
        <w:tblStyle w:val="TableGrid"/>
        <w:tblW w:w="0" w:type="auto"/>
        <w:tblLook w:val="04A0" w:firstRow="1" w:lastRow="0" w:firstColumn="1" w:lastColumn="0" w:noHBand="0" w:noVBand="1"/>
      </w:tblPr>
      <w:tblGrid>
        <w:gridCol w:w="1008"/>
        <w:gridCol w:w="4860"/>
        <w:gridCol w:w="2070"/>
        <w:gridCol w:w="1638"/>
      </w:tblGrid>
      <w:tr w:rsidR="00952BFF" w:rsidTr="005924D8">
        <w:tc>
          <w:tcPr>
            <w:tcW w:w="1008" w:type="dxa"/>
          </w:tcPr>
          <w:p w:rsidR="00952BFF" w:rsidRPr="00952BFF" w:rsidRDefault="00952BFF" w:rsidP="004E6B44">
            <w:pPr>
              <w:tabs>
                <w:tab w:val="center" w:pos="4680"/>
              </w:tabs>
              <w:rPr>
                <w:b/>
              </w:rPr>
            </w:pPr>
            <w:r w:rsidRPr="00952BFF">
              <w:rPr>
                <w:b/>
              </w:rPr>
              <w:t>Permit No.</w:t>
            </w:r>
          </w:p>
        </w:tc>
        <w:tc>
          <w:tcPr>
            <w:tcW w:w="4860" w:type="dxa"/>
          </w:tcPr>
          <w:p w:rsidR="00952BFF" w:rsidRPr="00952BFF" w:rsidRDefault="00952BFF" w:rsidP="004E6B44">
            <w:pPr>
              <w:tabs>
                <w:tab w:val="center" w:pos="4680"/>
              </w:tabs>
              <w:rPr>
                <w:b/>
              </w:rPr>
            </w:pPr>
            <w:r w:rsidRPr="00952BFF">
              <w:rPr>
                <w:b/>
              </w:rPr>
              <w:t>Unit Description</w:t>
            </w:r>
          </w:p>
        </w:tc>
        <w:tc>
          <w:tcPr>
            <w:tcW w:w="2070" w:type="dxa"/>
          </w:tcPr>
          <w:p w:rsidR="00952BFF" w:rsidRPr="00952BFF" w:rsidRDefault="00952BFF" w:rsidP="004E6B44">
            <w:pPr>
              <w:tabs>
                <w:tab w:val="center" w:pos="4680"/>
              </w:tabs>
              <w:rPr>
                <w:b/>
              </w:rPr>
            </w:pPr>
            <w:r w:rsidRPr="00952BFF">
              <w:rPr>
                <w:b/>
              </w:rPr>
              <w:t>Degreaser Type</w:t>
            </w:r>
          </w:p>
        </w:tc>
        <w:tc>
          <w:tcPr>
            <w:tcW w:w="1638" w:type="dxa"/>
          </w:tcPr>
          <w:p w:rsidR="00952BFF" w:rsidRPr="00952BFF" w:rsidRDefault="00952BFF" w:rsidP="004E6B44">
            <w:pPr>
              <w:tabs>
                <w:tab w:val="center" w:pos="4680"/>
              </w:tabs>
              <w:rPr>
                <w:b/>
              </w:rPr>
            </w:pPr>
            <w:r w:rsidRPr="00952BFF">
              <w:rPr>
                <w:b/>
              </w:rPr>
              <w:t>Application Receipt Date</w:t>
            </w:r>
          </w:p>
        </w:tc>
      </w:tr>
      <w:tr w:rsidR="00952BFF" w:rsidTr="005924D8">
        <w:tc>
          <w:tcPr>
            <w:tcW w:w="1008" w:type="dxa"/>
          </w:tcPr>
          <w:p w:rsidR="00952BFF" w:rsidRDefault="00952BFF" w:rsidP="004E6B44">
            <w:pPr>
              <w:tabs>
                <w:tab w:val="center" w:pos="4680"/>
              </w:tabs>
            </w:pPr>
            <w:r>
              <w:t>7117</w:t>
            </w:r>
          </w:p>
        </w:tc>
        <w:tc>
          <w:tcPr>
            <w:tcW w:w="4860" w:type="dxa"/>
          </w:tcPr>
          <w:p w:rsidR="00952BFF" w:rsidRDefault="00952BFF" w:rsidP="004E6B44">
            <w:pPr>
              <w:tabs>
                <w:tab w:val="center" w:pos="4680"/>
              </w:tabs>
            </w:pPr>
            <w:r>
              <w:t xml:space="preserve">Garage </w:t>
            </w:r>
            <w:r w:rsidR="00C22ADC">
              <w:t xml:space="preserve">Shop </w:t>
            </w:r>
            <w:r>
              <w:t xml:space="preserve">B-126 </w:t>
            </w:r>
            <w:r w:rsidR="00C22ADC">
              <w:t xml:space="preserve">Safety </w:t>
            </w:r>
            <w:proofErr w:type="spellStart"/>
            <w:r w:rsidR="00C22ADC">
              <w:t>Kleen</w:t>
            </w:r>
            <w:proofErr w:type="spellEnd"/>
            <w:r w:rsidR="00C22ADC">
              <w:t xml:space="preserve"> Sink Parts Washer Model 16, S/N 30201378</w:t>
            </w:r>
          </w:p>
        </w:tc>
        <w:tc>
          <w:tcPr>
            <w:tcW w:w="2070" w:type="dxa"/>
          </w:tcPr>
          <w:p w:rsidR="00952BFF" w:rsidRDefault="00952BFF" w:rsidP="004E6B44">
            <w:pPr>
              <w:tabs>
                <w:tab w:val="center" w:pos="4680"/>
              </w:tabs>
            </w:pPr>
            <w:r>
              <w:t>Remote Reservoir</w:t>
            </w:r>
          </w:p>
        </w:tc>
        <w:tc>
          <w:tcPr>
            <w:tcW w:w="1638" w:type="dxa"/>
          </w:tcPr>
          <w:p w:rsidR="00952BFF" w:rsidRDefault="00952BFF" w:rsidP="004E6B44">
            <w:pPr>
              <w:tabs>
                <w:tab w:val="center" w:pos="4680"/>
              </w:tabs>
            </w:pPr>
            <w:r>
              <w:t>5/2/2016</w:t>
            </w:r>
          </w:p>
        </w:tc>
      </w:tr>
      <w:tr w:rsidR="00952BFF" w:rsidTr="005924D8">
        <w:tc>
          <w:tcPr>
            <w:tcW w:w="1008" w:type="dxa"/>
          </w:tcPr>
          <w:p w:rsidR="00952BFF" w:rsidRDefault="00952BFF" w:rsidP="004E6B44">
            <w:pPr>
              <w:tabs>
                <w:tab w:val="center" w:pos="4680"/>
              </w:tabs>
            </w:pPr>
            <w:r>
              <w:t>7118</w:t>
            </w:r>
          </w:p>
        </w:tc>
        <w:tc>
          <w:tcPr>
            <w:tcW w:w="4860" w:type="dxa"/>
          </w:tcPr>
          <w:p w:rsidR="00952BFF" w:rsidRDefault="00952BFF" w:rsidP="004E6B44">
            <w:pPr>
              <w:tabs>
                <w:tab w:val="center" w:pos="4680"/>
              </w:tabs>
            </w:pPr>
            <w:r>
              <w:t>Forklift</w:t>
            </w:r>
            <w:r w:rsidR="00854368">
              <w:t>/Truck Shop</w:t>
            </w:r>
            <w:r>
              <w:t xml:space="preserve"> C-142</w:t>
            </w:r>
            <w:r w:rsidR="00C22ADC">
              <w:t xml:space="preserve"> </w:t>
            </w:r>
            <w:proofErr w:type="spellStart"/>
            <w:r w:rsidR="00C22ADC">
              <w:t>Klamas</w:t>
            </w:r>
            <w:proofErr w:type="spellEnd"/>
            <w:r w:rsidR="00C22ADC">
              <w:t xml:space="preserve"> </w:t>
            </w:r>
            <w:proofErr w:type="spellStart"/>
            <w:r w:rsidR="00C22ADC">
              <w:t>Kleen</w:t>
            </w:r>
            <w:proofErr w:type="spellEnd"/>
            <w:r w:rsidR="00C22ADC">
              <w:t xml:space="preserve"> Parts Washer (30-gallon)</w:t>
            </w:r>
          </w:p>
        </w:tc>
        <w:tc>
          <w:tcPr>
            <w:tcW w:w="2070" w:type="dxa"/>
          </w:tcPr>
          <w:p w:rsidR="00952BFF" w:rsidRDefault="00854368" w:rsidP="004E6B44">
            <w:pPr>
              <w:tabs>
                <w:tab w:val="center" w:pos="4680"/>
              </w:tabs>
            </w:pPr>
            <w:r>
              <w:t>Remote Reservoir</w:t>
            </w:r>
          </w:p>
        </w:tc>
        <w:tc>
          <w:tcPr>
            <w:tcW w:w="1638" w:type="dxa"/>
          </w:tcPr>
          <w:p w:rsidR="00952BFF" w:rsidRDefault="00854368" w:rsidP="004E6B44">
            <w:pPr>
              <w:tabs>
                <w:tab w:val="center" w:pos="4680"/>
              </w:tabs>
            </w:pPr>
            <w:r>
              <w:t>5/2/2016</w:t>
            </w:r>
          </w:p>
        </w:tc>
      </w:tr>
      <w:tr w:rsidR="00952BFF" w:rsidTr="005924D8">
        <w:tc>
          <w:tcPr>
            <w:tcW w:w="1008" w:type="dxa"/>
          </w:tcPr>
          <w:p w:rsidR="00952BFF" w:rsidRDefault="00C22ADC" w:rsidP="004E6B44">
            <w:pPr>
              <w:tabs>
                <w:tab w:val="center" w:pos="4680"/>
              </w:tabs>
            </w:pPr>
            <w:r>
              <w:t>7119</w:t>
            </w:r>
          </w:p>
        </w:tc>
        <w:tc>
          <w:tcPr>
            <w:tcW w:w="4860" w:type="dxa"/>
          </w:tcPr>
          <w:p w:rsidR="00952BFF" w:rsidRDefault="00C22ADC" w:rsidP="00C22ADC">
            <w:pPr>
              <w:tabs>
                <w:tab w:val="center" w:pos="4680"/>
              </w:tabs>
            </w:pPr>
            <w:r>
              <w:t>Machine Shop C-322 Safety-Kleen Model 81 Agitating Parts Washer (80-gallon), S/N 902236683</w:t>
            </w:r>
          </w:p>
        </w:tc>
        <w:tc>
          <w:tcPr>
            <w:tcW w:w="2070" w:type="dxa"/>
          </w:tcPr>
          <w:p w:rsidR="00952BFF" w:rsidRDefault="00C22ADC" w:rsidP="004E6B44">
            <w:pPr>
              <w:tabs>
                <w:tab w:val="center" w:pos="4680"/>
              </w:tabs>
            </w:pPr>
            <w:r>
              <w:t>Immersion</w:t>
            </w:r>
          </w:p>
        </w:tc>
        <w:tc>
          <w:tcPr>
            <w:tcW w:w="1638" w:type="dxa"/>
          </w:tcPr>
          <w:p w:rsidR="00952BFF" w:rsidRDefault="00C22ADC" w:rsidP="004E6B44">
            <w:pPr>
              <w:tabs>
                <w:tab w:val="center" w:pos="4680"/>
              </w:tabs>
            </w:pPr>
            <w:r>
              <w:t>5/2/2016</w:t>
            </w:r>
          </w:p>
        </w:tc>
      </w:tr>
      <w:tr w:rsidR="00952BFF" w:rsidTr="005924D8">
        <w:tc>
          <w:tcPr>
            <w:tcW w:w="1008" w:type="dxa"/>
          </w:tcPr>
          <w:p w:rsidR="00952BFF" w:rsidRDefault="00C22ADC" w:rsidP="004E6B44">
            <w:pPr>
              <w:tabs>
                <w:tab w:val="center" w:pos="4680"/>
              </w:tabs>
            </w:pPr>
            <w:r>
              <w:t>7120</w:t>
            </w:r>
          </w:p>
        </w:tc>
        <w:tc>
          <w:tcPr>
            <w:tcW w:w="4860" w:type="dxa"/>
          </w:tcPr>
          <w:p w:rsidR="00952BFF" w:rsidRDefault="00C22ADC" w:rsidP="00C22ADC">
            <w:pPr>
              <w:tabs>
                <w:tab w:val="center" w:pos="4680"/>
              </w:tabs>
            </w:pPr>
            <w:r>
              <w:t xml:space="preserve">Power Shop C-012/Machinist Branch </w:t>
            </w:r>
            <w:proofErr w:type="spellStart"/>
            <w:r>
              <w:t>Wel-Bilt</w:t>
            </w:r>
            <w:proofErr w:type="spellEnd"/>
            <w:r>
              <w:t xml:space="preserve"> Portable Parts Washer (20-gallon), #141226</w:t>
            </w:r>
          </w:p>
        </w:tc>
        <w:tc>
          <w:tcPr>
            <w:tcW w:w="2070" w:type="dxa"/>
          </w:tcPr>
          <w:p w:rsidR="00952BFF" w:rsidRDefault="00C22ADC" w:rsidP="004E6B44">
            <w:pPr>
              <w:tabs>
                <w:tab w:val="center" w:pos="4680"/>
              </w:tabs>
            </w:pPr>
            <w:r>
              <w:t>Remote Reservoir</w:t>
            </w:r>
          </w:p>
        </w:tc>
        <w:tc>
          <w:tcPr>
            <w:tcW w:w="1638" w:type="dxa"/>
          </w:tcPr>
          <w:p w:rsidR="00952BFF" w:rsidRDefault="00C22ADC" w:rsidP="004E6B44">
            <w:pPr>
              <w:tabs>
                <w:tab w:val="center" w:pos="4680"/>
              </w:tabs>
            </w:pPr>
            <w:r>
              <w:t>5/2/2016</w:t>
            </w:r>
          </w:p>
        </w:tc>
      </w:tr>
      <w:tr w:rsidR="00952BFF" w:rsidTr="005924D8">
        <w:tc>
          <w:tcPr>
            <w:tcW w:w="1008" w:type="dxa"/>
          </w:tcPr>
          <w:p w:rsidR="00952BFF" w:rsidRDefault="00952BFF" w:rsidP="004E6B44">
            <w:pPr>
              <w:tabs>
                <w:tab w:val="center" w:pos="4680"/>
              </w:tabs>
            </w:pPr>
            <w:r>
              <w:t>7210</w:t>
            </w:r>
          </w:p>
        </w:tc>
        <w:tc>
          <w:tcPr>
            <w:tcW w:w="4860" w:type="dxa"/>
          </w:tcPr>
          <w:p w:rsidR="00952BFF" w:rsidRDefault="00952BFF" w:rsidP="004E6B44">
            <w:pPr>
              <w:tabs>
                <w:tab w:val="center" w:pos="4680"/>
              </w:tabs>
            </w:pPr>
            <w:r>
              <w:t>Portable degreaser for the bindery area</w:t>
            </w:r>
          </w:p>
        </w:tc>
        <w:tc>
          <w:tcPr>
            <w:tcW w:w="2070" w:type="dxa"/>
          </w:tcPr>
          <w:p w:rsidR="00952BFF" w:rsidRDefault="00952BFF" w:rsidP="004E6B44">
            <w:pPr>
              <w:tabs>
                <w:tab w:val="center" w:pos="4680"/>
              </w:tabs>
            </w:pPr>
            <w:r>
              <w:t>Immersion</w:t>
            </w:r>
          </w:p>
        </w:tc>
        <w:tc>
          <w:tcPr>
            <w:tcW w:w="1638" w:type="dxa"/>
          </w:tcPr>
          <w:p w:rsidR="00952BFF" w:rsidRDefault="00952BFF" w:rsidP="004E6B44">
            <w:pPr>
              <w:tabs>
                <w:tab w:val="center" w:pos="4680"/>
              </w:tabs>
            </w:pPr>
            <w:r>
              <w:t>5/17/2018</w:t>
            </w:r>
          </w:p>
        </w:tc>
      </w:tr>
    </w:tbl>
    <w:p w:rsidR="00952BFF" w:rsidRDefault="00952BFF" w:rsidP="004E6B44">
      <w:pPr>
        <w:tabs>
          <w:tab w:val="center" w:pos="4680"/>
        </w:tabs>
      </w:pPr>
    </w:p>
    <w:p w:rsidR="004E6B44" w:rsidRPr="00D3090C" w:rsidRDefault="00952BFF" w:rsidP="004E6B44">
      <w:pPr>
        <w:tabs>
          <w:tab w:val="center" w:pos="4680"/>
        </w:tabs>
      </w:pPr>
      <w:r>
        <w:t>The applications are to operate the units, per the submitted plans and specifications, are hereby approved, subject to the following conditions:</w:t>
      </w:r>
    </w:p>
    <w:p w:rsidR="007C35DB" w:rsidRPr="006243B7" w:rsidRDefault="007C35DB" w:rsidP="007C35DB">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rsidR="00B339BC">
        <w:t>cold</w:t>
      </w:r>
      <w:r w:rsidR="00025C84">
        <w:t xml:space="preserve"> </w:t>
      </w:r>
      <w:r w:rsidR="000206F6">
        <w:t>cleaning machines</w:t>
      </w:r>
      <w:r w:rsidR="002A4F43">
        <w:t xml:space="preserve"> </w:t>
      </w:r>
      <w:r w:rsidRPr="00975D79">
        <w:t>shall be maintained and operated in accordance with the air pollution control requirements of 20 DCMR.</w:t>
      </w:r>
    </w:p>
    <w:p w:rsidR="00500AF8" w:rsidRPr="00975D79" w:rsidRDefault="00500AF8" w:rsidP="00500AF8">
      <w:pPr>
        <w:ind w:left="720" w:hanging="360"/>
      </w:pPr>
    </w:p>
    <w:p w:rsidR="00500AF8" w:rsidRDefault="00025C84" w:rsidP="00500AF8">
      <w:pPr>
        <w:ind w:left="720" w:hanging="360"/>
      </w:pPr>
      <w:r>
        <w:t>b.</w:t>
      </w:r>
      <w:r>
        <w:tab/>
        <w:t>These</w:t>
      </w:r>
      <w:r w:rsidR="00500AF8" w:rsidRPr="00975D79">
        <w:t xml:space="preserve"> permit</w:t>
      </w:r>
      <w:r>
        <w:t>s</w:t>
      </w:r>
      <w:r w:rsidR="00500AF8" w:rsidRPr="00975D79">
        <w:t xml:space="preserve"> </w:t>
      </w:r>
      <w:r w:rsidR="00500AF8" w:rsidRPr="00AB4EA6">
        <w:t xml:space="preserve">expire </w:t>
      </w:r>
      <w:r w:rsidR="00500AF8">
        <w:t xml:space="preserve">on </w:t>
      </w:r>
      <w:r>
        <w:t>July 2, 2023</w:t>
      </w:r>
      <w:r w:rsidR="00812E37">
        <w:t xml:space="preserve"> </w:t>
      </w:r>
      <w:r w:rsidR="00500AF8" w:rsidRPr="00975D79">
        <w:t xml:space="preserve">[20 DCMR 200.4].  If continued operation after this date is desired, the </w:t>
      </w:r>
      <w:r>
        <w:t>Permittee</w:t>
      </w:r>
      <w:r w:rsidR="00500AF8" w:rsidRPr="00975D79">
        <w:t xml:space="preserve"> shall submit a</w:t>
      </w:r>
      <w:r w:rsidR="00500AF8">
        <w:t xml:space="preserve"> renewal application </w:t>
      </w:r>
      <w:r w:rsidR="006A109E">
        <w:t xml:space="preserve">by </w:t>
      </w:r>
      <w:r>
        <w:t>April 2</w:t>
      </w:r>
      <w:r w:rsidR="006A109E">
        <w:t>, 20</w:t>
      </w:r>
      <w:r>
        <w:t>23</w:t>
      </w:r>
      <w:r w:rsidR="00500AF8">
        <w:t>.</w:t>
      </w:r>
    </w:p>
    <w:p w:rsidR="00500AF8" w:rsidRPr="00975D79" w:rsidRDefault="00500AF8" w:rsidP="00500AF8">
      <w:pPr>
        <w:ind w:left="720" w:hanging="360"/>
      </w:pPr>
      <w:r w:rsidRPr="00975D79">
        <w:lastRenderedPageBreak/>
        <w:t>c.</w:t>
      </w:r>
      <w:r w:rsidRPr="00975D79">
        <w:tab/>
      </w:r>
      <w:r w:rsidR="00025C84">
        <w:t>O</w:t>
      </w:r>
      <w:r w:rsidRPr="00975D79">
        <w:t>peration of equip</w:t>
      </w:r>
      <w:r w:rsidR="00025C84">
        <w:t>ment under the authority of these</w:t>
      </w:r>
      <w:r w:rsidRPr="00975D79">
        <w:t xml:space="preserve"> permit</w:t>
      </w:r>
      <w:r w:rsidR="00025C84">
        <w:t>s</w:t>
      </w:r>
      <w:r w:rsidRPr="00975D79">
        <w:t xml:space="preserve"> shall be considered acceptance of </w:t>
      </w:r>
      <w:r w:rsidR="00025C84">
        <w:t>their</w:t>
      </w:r>
      <w:r w:rsidRPr="00975D79">
        <w:t xml:space="preserve">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Pr="00975D79"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500AF8" w:rsidRPr="00975D79" w:rsidRDefault="00500AF8" w:rsidP="00500AF8">
      <w:pPr>
        <w:tabs>
          <w:tab w:val="left" w:pos="-1440"/>
          <w:tab w:val="left" w:pos="-720"/>
          <w:tab w:val="left" w:pos="1080"/>
        </w:tabs>
        <w:ind w:left="1080" w:hanging="360"/>
      </w:pPr>
    </w:p>
    <w:p w:rsidR="00500AF8" w:rsidRDefault="00500AF8" w:rsidP="00E569C4">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A9664C" w:rsidRPr="00975D79" w:rsidRDefault="00A9664C" w:rsidP="00E569C4">
      <w:pPr>
        <w:tabs>
          <w:tab w:val="left" w:pos="-1440"/>
          <w:tab w:val="left" w:pos="-720"/>
          <w:tab w:val="left" w:pos="1080"/>
        </w:tabs>
        <w:ind w:left="1080" w:hanging="360"/>
      </w:pPr>
    </w:p>
    <w:p w:rsidR="00500AF8" w:rsidRDefault="00500AF8" w:rsidP="00C60F51">
      <w:pPr>
        <w:tabs>
          <w:tab w:val="left" w:pos="-1440"/>
          <w:tab w:val="left" w:pos="-720"/>
          <w:tab w:val="left" w:pos="1080"/>
        </w:tabs>
        <w:ind w:left="1080" w:hanging="360"/>
      </w:pPr>
      <w:r w:rsidRPr="00975D79">
        <w:t>3.</w:t>
      </w:r>
      <w:r w:rsidRPr="00975D79">
        <w:tab/>
        <w:t>Inspect, at reasonable times, any facilities, equipment (including monitoring and air pollution control equipment), practices, or operations regulated or required under this permit; and</w:t>
      </w:r>
    </w:p>
    <w:p w:rsidR="00A9664C" w:rsidRPr="00975D79" w:rsidRDefault="00A9664C" w:rsidP="00C60F51">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500AF8" w:rsidP="00500AF8">
      <w:pPr>
        <w:ind w:left="720" w:hanging="360"/>
      </w:pPr>
      <w:r w:rsidRPr="00975D79">
        <w:t>e.</w:t>
      </w:r>
      <w:r w:rsidRPr="00975D79">
        <w:tab/>
        <w:t>Th</w:t>
      </w:r>
      <w:r w:rsidR="00025C84">
        <w:t>ese</w:t>
      </w:r>
      <w:r w:rsidRPr="00975D79">
        <w:t xml:space="preserve"> permit</w:t>
      </w:r>
      <w:r w:rsidR="00025C84">
        <w:t>s</w:t>
      </w:r>
      <w:r w:rsidRPr="00975D79">
        <w:t xml:space="preserve">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comply with the provisions of th</w:t>
      </w:r>
      <w:r w:rsidR="00025C84">
        <w:t>ese</w:t>
      </w:r>
      <w:r w:rsidRPr="00975D79">
        <w:t xml:space="preserve"> permit</w:t>
      </w:r>
      <w:r w:rsidR="00025C84">
        <w:t>s</w:t>
      </w:r>
      <w:r w:rsidRPr="00975D79">
        <w:t xml:space="preserve"> may be grounds for suspension or revocation. [20 DCMR 202.2]</w:t>
      </w:r>
    </w:p>
    <w:p w:rsidR="00386B9E" w:rsidRDefault="00386B9E" w:rsidP="00386B9E">
      <w:pPr>
        <w:ind w:left="720"/>
      </w:pPr>
    </w:p>
    <w:p w:rsidR="00386B9E" w:rsidRDefault="00386B9E" w:rsidP="00500AF8">
      <w:pPr>
        <w:numPr>
          <w:ilvl w:val="0"/>
          <w:numId w:val="2"/>
        </w:numPr>
      </w:pPr>
      <w:r>
        <w:t xml:space="preserve">With </w:t>
      </w:r>
      <w:r w:rsidR="000206F6">
        <w:t xml:space="preserve">180 days </w:t>
      </w:r>
      <w:r>
        <w:t>of issuance</w:t>
      </w:r>
      <w:r w:rsidR="002A4F43">
        <w:t xml:space="preserve"> </w:t>
      </w:r>
      <w:r w:rsidR="00025C84">
        <w:t>of these</w:t>
      </w:r>
      <w:r w:rsidR="002A4F43">
        <w:t xml:space="preserve"> </w:t>
      </w:r>
      <w:r>
        <w:t>permit</w:t>
      </w:r>
      <w:r w:rsidR="00025C84">
        <w:t>s</w:t>
      </w:r>
      <w:r>
        <w:t xml:space="preserve">, the Permittee shall submit a complete application or application amendment to modify </w:t>
      </w:r>
      <w:r w:rsidR="002A4F43">
        <w:t>the facility’s</w:t>
      </w:r>
      <w:r>
        <w:t xml:space="preserve"> Title V operating permit pursuant to 20 DCMR Chapter 3, </w:t>
      </w:r>
      <w:r w:rsidR="002A4F43">
        <w:t xml:space="preserve">to </w:t>
      </w:r>
      <w:r>
        <w:t>incorporat</w:t>
      </w:r>
      <w:r w:rsidR="002A4F43">
        <w:t>e</w:t>
      </w:r>
      <w:r w:rsidR="00025C84">
        <w:t xml:space="preserve"> the conditions of these</w:t>
      </w:r>
      <w:r>
        <w:t xml:space="preserve"> permit</w:t>
      </w:r>
      <w:r w:rsidR="00025C84">
        <w:t>s</w:t>
      </w:r>
      <w:r w:rsidR="002A4F43">
        <w:t>.</w:t>
      </w:r>
      <w:r w:rsidR="000206F6">
        <w:t xml:space="preserve"> [20 DCMR 301.2]</w:t>
      </w:r>
    </w:p>
    <w:p w:rsidR="00500AF8" w:rsidRDefault="00500AF8" w:rsidP="00500AF8">
      <w:pPr>
        <w:ind w:left="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500AF8" w:rsidRDefault="00500AF8" w:rsidP="00E569C4"/>
    <w:p w:rsidR="00A9664C" w:rsidRDefault="00A9664C" w:rsidP="00A9664C">
      <w:pPr>
        <w:ind w:left="720" w:hanging="360"/>
      </w:pPr>
      <w:bookmarkStart w:id="0" w:name="_GoBack"/>
      <w:r>
        <w:t>a</w:t>
      </w:r>
      <w:r w:rsidRPr="006243B7">
        <w:t>.</w:t>
      </w:r>
      <w:r w:rsidRPr="006243B7">
        <w:tab/>
        <w:t>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w:t>
      </w:r>
      <w:r>
        <w:t>]</w:t>
      </w:r>
    </w:p>
    <w:p w:rsidR="002A2519" w:rsidRDefault="002A2519" w:rsidP="00A9664C">
      <w:pPr>
        <w:ind w:left="720" w:hanging="360"/>
      </w:pPr>
    </w:p>
    <w:p w:rsidR="002A2519" w:rsidRDefault="002A2519" w:rsidP="00A9664C">
      <w:pPr>
        <w:ind w:left="720" w:hanging="360"/>
      </w:pPr>
      <w:r>
        <w:t>b.</w:t>
      </w:r>
      <w:r>
        <w:tab/>
        <w:t>No solvents shall be used in the units that contain halogenated hazardous air pollutant (HAP) solvents as follows [20 DCMR 201]:</w:t>
      </w:r>
    </w:p>
    <w:p w:rsidR="002A2519" w:rsidRDefault="002A2519" w:rsidP="00A9664C">
      <w:pPr>
        <w:ind w:left="720" w:hanging="360"/>
      </w:pPr>
    </w:p>
    <w:p w:rsidR="002A2519" w:rsidRDefault="002A2519" w:rsidP="002A2519">
      <w:pPr>
        <w:ind w:left="1080" w:hanging="360"/>
      </w:pPr>
      <w:r>
        <w:t>1.</w:t>
      </w:r>
      <w:r>
        <w:tab/>
        <w:t>Methylene chloride;</w:t>
      </w:r>
    </w:p>
    <w:p w:rsidR="002A2519" w:rsidRDefault="002A2519" w:rsidP="002A2519">
      <w:pPr>
        <w:ind w:left="1080" w:hanging="360"/>
      </w:pPr>
    </w:p>
    <w:p w:rsidR="002A2519" w:rsidRDefault="002A2519" w:rsidP="002A2519">
      <w:pPr>
        <w:ind w:left="1080" w:hanging="360"/>
      </w:pPr>
      <w:r>
        <w:t>2.</w:t>
      </w:r>
      <w:r>
        <w:tab/>
      </w:r>
      <w:proofErr w:type="spellStart"/>
      <w:r>
        <w:t>Perchloroethylene</w:t>
      </w:r>
      <w:proofErr w:type="spellEnd"/>
      <w:r>
        <w:t>;</w:t>
      </w:r>
    </w:p>
    <w:p w:rsidR="002A2519" w:rsidRDefault="002A2519" w:rsidP="002A2519">
      <w:pPr>
        <w:ind w:left="1080" w:hanging="360"/>
      </w:pPr>
    </w:p>
    <w:p w:rsidR="002A2519" w:rsidRDefault="002A2519" w:rsidP="002A2519">
      <w:pPr>
        <w:ind w:left="1080" w:hanging="360"/>
      </w:pPr>
      <w:r>
        <w:lastRenderedPageBreak/>
        <w:t>3.</w:t>
      </w:r>
      <w:r>
        <w:tab/>
        <w:t>Trichloroethylene;</w:t>
      </w:r>
    </w:p>
    <w:p w:rsidR="002A2519" w:rsidRDefault="002A2519" w:rsidP="002A2519">
      <w:pPr>
        <w:ind w:left="1080" w:hanging="360"/>
      </w:pPr>
    </w:p>
    <w:p w:rsidR="002A2519" w:rsidRDefault="002A2519" w:rsidP="002A2519">
      <w:pPr>
        <w:ind w:left="1080" w:hanging="360"/>
      </w:pPr>
      <w:r>
        <w:t>4.</w:t>
      </w:r>
      <w:r>
        <w:tab/>
        <w:t>1</w:t>
      </w:r>
      <w:proofErr w:type="gramStart"/>
      <w:r>
        <w:t>,1,1</w:t>
      </w:r>
      <w:proofErr w:type="gramEnd"/>
      <w:r>
        <w:t>-trichloroethane;</w:t>
      </w:r>
    </w:p>
    <w:p w:rsidR="002A2519" w:rsidRDefault="002A2519" w:rsidP="002A2519">
      <w:pPr>
        <w:ind w:left="1080" w:hanging="360"/>
      </w:pPr>
    </w:p>
    <w:p w:rsidR="002A2519" w:rsidRDefault="002A2519" w:rsidP="002A2519">
      <w:pPr>
        <w:ind w:left="1080" w:hanging="360"/>
      </w:pPr>
      <w:r>
        <w:t>5.</w:t>
      </w:r>
      <w:r>
        <w:tab/>
        <w:t>Carbon tetrachloride; or</w:t>
      </w:r>
    </w:p>
    <w:p w:rsidR="002A2519" w:rsidRDefault="002A2519" w:rsidP="002A2519">
      <w:pPr>
        <w:ind w:left="1080" w:hanging="360"/>
      </w:pPr>
    </w:p>
    <w:p w:rsidR="002A2519" w:rsidRDefault="002A2519" w:rsidP="002A2519">
      <w:pPr>
        <w:ind w:left="1080" w:hanging="360"/>
      </w:pPr>
      <w:r>
        <w:t>6.</w:t>
      </w:r>
      <w:r>
        <w:tab/>
        <w:t>Chloroform.</w:t>
      </w:r>
    </w:p>
    <w:bookmarkEnd w:id="0"/>
    <w:p w:rsidR="00A9664C" w:rsidRDefault="00A9664C" w:rsidP="00E569C4"/>
    <w:p w:rsidR="00500AF8" w:rsidRDefault="002630BA" w:rsidP="00A9664C">
      <w:pPr>
        <w:rPr>
          <w:u w:val="single"/>
        </w:rPr>
      </w:pPr>
      <w:r w:rsidRPr="006243B7">
        <w:t>III.</w:t>
      </w:r>
      <w:r w:rsidRPr="006243B7">
        <w:tab/>
      </w:r>
      <w:r w:rsidRPr="006243B7">
        <w:rPr>
          <w:u w:val="single"/>
        </w:rPr>
        <w:t>Operational Limitations:</w:t>
      </w:r>
    </w:p>
    <w:p w:rsidR="000D21A7" w:rsidRDefault="000D21A7" w:rsidP="00A9664C"/>
    <w:p w:rsidR="000D21A7" w:rsidRPr="000206F6" w:rsidRDefault="000D21A7" w:rsidP="000D21A7">
      <w:pPr>
        <w:widowControl w:val="0"/>
        <w:tabs>
          <w:tab w:val="left" w:pos="-1440"/>
          <w:tab w:val="left" w:pos="-720"/>
          <w:tab w:val="left" w:pos="540"/>
          <w:tab w:val="left" w:pos="720"/>
        </w:tabs>
        <w:overflowPunct w:val="0"/>
        <w:autoSpaceDE w:val="0"/>
        <w:autoSpaceDN w:val="0"/>
        <w:adjustRightInd w:val="0"/>
        <w:ind w:left="720" w:hanging="720"/>
        <w:rPr>
          <w:i/>
        </w:rPr>
      </w:pPr>
      <w:r>
        <w:t xml:space="preserve">      a.</w:t>
      </w:r>
      <w:r>
        <w:tab/>
      </w:r>
      <w:r>
        <w:tab/>
      </w:r>
      <w:r w:rsidRPr="00E162CD">
        <w:t>Immersion cold cleaning machines shall have a freeboard ratio of seventy-five one hundredths (0.75) or greater, unless the machines are equipped with covers that are kept closed except when parts are being placed into or are being removed from the machine.</w:t>
      </w:r>
      <w:r>
        <w:t xml:space="preserve"> [20 DCMR 764.2]</w:t>
      </w:r>
      <w:r w:rsidR="000206F6">
        <w:rPr>
          <w:i/>
        </w:rPr>
        <w:t xml:space="preserve"> Note that the immersion cold cleaning machines covered by permits 7119 and 7210 do not have the required freeboard ratio, and therefore must be kept closed except when parts are being placed into or are being removed from the machines.</w:t>
      </w:r>
    </w:p>
    <w:p w:rsidR="00500AF8" w:rsidRPr="006243B7" w:rsidRDefault="00500AF8" w:rsidP="00500AF8">
      <w:pPr>
        <w:rPr>
          <w:u w:val="single"/>
        </w:rPr>
      </w:pPr>
    </w:p>
    <w:p w:rsidR="009E32D8" w:rsidRDefault="002630BA" w:rsidP="00500AF8">
      <w:pPr>
        <w:numPr>
          <w:ilvl w:val="1"/>
          <w:numId w:val="1"/>
        </w:numPr>
        <w:ind w:left="720" w:hanging="360"/>
      </w:pPr>
      <w:r>
        <w:t>b</w:t>
      </w:r>
      <w:r w:rsidR="00500AF8" w:rsidRPr="006243B7">
        <w:t>.</w:t>
      </w:r>
      <w:r w:rsidR="00500AF8" w:rsidRPr="006243B7">
        <w:tab/>
      </w:r>
      <w:r w:rsidR="006B610F" w:rsidRPr="00E162CD">
        <w:t>Immersion cold cleaning machines and remote reservoir cold cleaning machines shall</w:t>
      </w:r>
      <w:r w:rsidR="006B610F">
        <w:t xml:space="preserve"> [20 DCMR 764.3]</w:t>
      </w:r>
      <w:r w:rsidR="006B610F" w:rsidRPr="00E162CD">
        <w:t>:</w:t>
      </w:r>
    </w:p>
    <w:p w:rsidR="006B610F" w:rsidRDefault="006B610F" w:rsidP="006B610F">
      <w:pPr>
        <w:ind w:left="360"/>
      </w:pPr>
    </w:p>
    <w:p w:rsidR="006B610F" w:rsidRDefault="006B610F" w:rsidP="006B610F">
      <w:pPr>
        <w:ind w:left="1080" w:hanging="360"/>
      </w:pPr>
      <w:r>
        <w:t xml:space="preserve">1.   </w:t>
      </w:r>
      <w:r w:rsidRPr="00E162CD">
        <w:t xml:space="preserve">Have a permanent, conspicuous label summarizing the operating requirements in </w:t>
      </w:r>
      <w:r>
        <w:t xml:space="preserve">Condition </w:t>
      </w:r>
      <w:r w:rsidRPr="00757DA7">
        <w:t>III</w:t>
      </w:r>
      <w:r>
        <w:t>(c</w:t>
      </w:r>
      <w:r w:rsidRPr="00757DA7">
        <w:t>)</w:t>
      </w:r>
      <w:r>
        <w:t>;</w:t>
      </w:r>
      <w:r w:rsidRPr="00943584">
        <w:rPr>
          <w:color w:val="FF0000"/>
        </w:rPr>
        <w:t xml:space="preserve"> </w:t>
      </w:r>
      <w:r w:rsidRPr="00E162CD">
        <w:t>and</w:t>
      </w:r>
    </w:p>
    <w:p w:rsidR="006B610F" w:rsidRDefault="006B610F" w:rsidP="006B610F">
      <w:pPr>
        <w:ind w:left="1080" w:hanging="360"/>
      </w:pPr>
    </w:p>
    <w:p w:rsidR="006B610F" w:rsidRPr="000206F6" w:rsidRDefault="00E91D8D" w:rsidP="00E91D8D">
      <w:pPr>
        <w:pStyle w:val="BodyTextIndent"/>
        <w:widowControl w:val="0"/>
        <w:autoSpaceDE w:val="0"/>
        <w:autoSpaceDN w:val="0"/>
        <w:adjustRightInd w:val="0"/>
        <w:spacing w:after="0"/>
        <w:ind w:left="1080" w:hanging="630"/>
        <w:rPr>
          <w:i/>
        </w:rPr>
      </w:pPr>
      <w:r>
        <w:t xml:space="preserve">     2.   </w:t>
      </w:r>
      <w:proofErr w:type="gramStart"/>
      <w:r w:rsidR="006B610F" w:rsidRPr="00E162CD">
        <w:t>Be</w:t>
      </w:r>
      <w:proofErr w:type="gramEnd"/>
      <w:r w:rsidR="006B610F" w:rsidRPr="00E162CD">
        <w:t xml:space="preserve"> equipped with a cover that shall be closed at all times except during cleaning of parts or the addition or removal of solvent. For remote reservoir cold cleaning machines that drain directly into the solvent storage reservoir, a perforated drain with a diameter of not more than six inches (6 in.) shall constitute an acceptable cover.</w:t>
      </w:r>
      <w:r w:rsidR="000206F6">
        <w:t xml:space="preserve"> </w:t>
      </w:r>
      <w:r w:rsidR="000206F6">
        <w:rPr>
          <w:i/>
        </w:rPr>
        <w:t xml:space="preserve">Note that the remote reservoir cold cleaning machines covered by permits </w:t>
      </w:r>
      <w:r w:rsidR="00A3222F">
        <w:rPr>
          <w:i/>
        </w:rPr>
        <w:t>7118 and 7120 do not have such perforated drains, so a separate idling mode cover must be used to meet this requirement.</w:t>
      </w:r>
    </w:p>
    <w:p w:rsidR="006B610F" w:rsidRDefault="006B610F" w:rsidP="00E91D8D"/>
    <w:p w:rsidR="00E91D8D" w:rsidRPr="00E162CD" w:rsidRDefault="00E91D8D" w:rsidP="00E91D8D">
      <w:pPr>
        <w:widowControl w:val="0"/>
        <w:overflowPunct w:val="0"/>
        <w:autoSpaceDE w:val="0"/>
        <w:autoSpaceDN w:val="0"/>
        <w:adjustRightInd w:val="0"/>
        <w:ind w:left="720" w:hanging="720"/>
      </w:pPr>
      <w:r>
        <w:t xml:space="preserve">     </w:t>
      </w:r>
      <w:r w:rsidR="007859D0">
        <w:t xml:space="preserve"> </w:t>
      </w:r>
      <w:r w:rsidR="002630BA">
        <w:t>c</w:t>
      </w:r>
      <w:r w:rsidR="00500AF8" w:rsidRPr="006243B7">
        <w:t>.</w:t>
      </w:r>
      <w:r w:rsidR="00500AF8" w:rsidRPr="006243B7">
        <w:tab/>
      </w:r>
      <w:r w:rsidRPr="00E162CD">
        <w:t>Cold cleaning machines shall be operated in accordance with the following procedures</w:t>
      </w:r>
      <w:r>
        <w:t xml:space="preserve"> [20 DCMR 764.4]</w:t>
      </w:r>
      <w:r w:rsidRPr="00E162CD">
        <w:t>:</w:t>
      </w:r>
    </w:p>
    <w:p w:rsidR="00500AF8" w:rsidRPr="006243B7" w:rsidRDefault="00500AF8" w:rsidP="00500AF8"/>
    <w:p w:rsidR="00500AF8" w:rsidRPr="006243B7" w:rsidRDefault="00500AF8" w:rsidP="00500AF8">
      <w:pPr>
        <w:tabs>
          <w:tab w:val="num" w:pos="1080"/>
        </w:tabs>
        <w:ind w:left="1080" w:hanging="360"/>
      </w:pPr>
      <w:r w:rsidRPr="006243B7">
        <w:t>1.</w:t>
      </w:r>
      <w:r w:rsidRPr="006243B7">
        <w:tab/>
      </w:r>
      <w:r w:rsidR="00E91D8D" w:rsidRPr="00E162CD">
        <w:t>Waste solvent shall be collected and stored in closed containers. The closed containers may contain a device that allows pressure relief, but does not allow liquid solvent to drain from the container;</w:t>
      </w:r>
    </w:p>
    <w:p w:rsidR="003E3592" w:rsidRDefault="003E3592" w:rsidP="00C02E5E">
      <w:pPr>
        <w:tabs>
          <w:tab w:val="num" w:pos="1080"/>
        </w:tabs>
        <w:ind w:left="1080" w:hanging="360"/>
      </w:pPr>
    </w:p>
    <w:p w:rsidR="00C02E5E" w:rsidRDefault="00500AF8" w:rsidP="00C02E5E">
      <w:pPr>
        <w:tabs>
          <w:tab w:val="num" w:pos="1080"/>
        </w:tabs>
        <w:ind w:left="1080" w:hanging="360"/>
      </w:pPr>
      <w:r w:rsidRPr="006243B7">
        <w:t>2.</w:t>
      </w:r>
      <w:r w:rsidRPr="006243B7">
        <w:tab/>
      </w:r>
      <w:r w:rsidR="00E91D8D" w:rsidRPr="00E162CD">
        <w:t>Cleaned parts shall be drained at least fifteen (15) seconds or until dripping ceases, whichever is longer;</w:t>
      </w:r>
    </w:p>
    <w:p w:rsidR="00E91D8D" w:rsidRDefault="00E91D8D" w:rsidP="00C02E5E">
      <w:pPr>
        <w:tabs>
          <w:tab w:val="num" w:pos="1080"/>
        </w:tabs>
        <w:ind w:left="1080" w:hanging="360"/>
      </w:pPr>
    </w:p>
    <w:p w:rsidR="00E91D8D" w:rsidRDefault="00E91D8D" w:rsidP="00A3222F">
      <w:pPr>
        <w:pStyle w:val="BodyTextIndent2"/>
        <w:widowControl w:val="0"/>
        <w:tabs>
          <w:tab w:val="left" w:pos="1440"/>
        </w:tabs>
        <w:autoSpaceDE w:val="0"/>
        <w:autoSpaceDN w:val="0"/>
        <w:adjustRightInd w:val="0"/>
        <w:spacing w:after="0" w:line="240" w:lineRule="auto"/>
        <w:ind w:left="1440" w:hanging="360"/>
      </w:pPr>
      <w:r>
        <w:t>i.</w:t>
      </w:r>
      <w:r>
        <w:tab/>
      </w:r>
      <w:r w:rsidRPr="00DE2DB3">
        <w:t>Parts</w:t>
      </w:r>
      <w:r w:rsidRPr="00E162CD">
        <w:t xml:space="preserve"> having cavities or blind holes shall be tipped or rotated while the part is draining; and</w:t>
      </w:r>
    </w:p>
    <w:p w:rsidR="00A3222F" w:rsidRDefault="00A3222F" w:rsidP="00A3222F">
      <w:pPr>
        <w:pStyle w:val="BodyTextIndent2"/>
        <w:widowControl w:val="0"/>
        <w:tabs>
          <w:tab w:val="left" w:pos="1440"/>
        </w:tabs>
        <w:autoSpaceDE w:val="0"/>
        <w:autoSpaceDN w:val="0"/>
        <w:adjustRightInd w:val="0"/>
        <w:spacing w:after="0" w:line="240" w:lineRule="auto"/>
        <w:ind w:left="1440" w:hanging="360"/>
      </w:pPr>
    </w:p>
    <w:p w:rsidR="00E91D8D" w:rsidRDefault="00E91D8D" w:rsidP="00A3222F">
      <w:pPr>
        <w:pStyle w:val="BodyTextIndent2"/>
        <w:widowControl w:val="0"/>
        <w:tabs>
          <w:tab w:val="left" w:pos="1440"/>
        </w:tabs>
        <w:autoSpaceDE w:val="0"/>
        <w:autoSpaceDN w:val="0"/>
        <w:adjustRightInd w:val="0"/>
        <w:spacing w:after="0" w:line="240" w:lineRule="auto"/>
        <w:ind w:left="1440" w:hanging="360"/>
      </w:pPr>
      <w:r>
        <w:lastRenderedPageBreak/>
        <w:t>ii.</w:t>
      </w:r>
      <w:r>
        <w:tab/>
      </w:r>
      <w:r w:rsidR="00B56B5E" w:rsidRPr="00E162CD">
        <w:t>During the draining, tipping or rotating, the parts shall be positioned so that solvent drains directly ba</w:t>
      </w:r>
      <w:r w:rsidR="00B56B5E">
        <w:t>ck to the cold cleaning machine.</w:t>
      </w:r>
    </w:p>
    <w:p w:rsidR="00500AF8" w:rsidRPr="006243B7" w:rsidRDefault="00500AF8" w:rsidP="00B56B5E">
      <w:pPr>
        <w:tabs>
          <w:tab w:val="num" w:pos="1080"/>
        </w:tabs>
      </w:pPr>
    </w:p>
    <w:p w:rsidR="00500AF8" w:rsidRPr="00A3222F" w:rsidRDefault="00500AF8" w:rsidP="00500AF8">
      <w:pPr>
        <w:tabs>
          <w:tab w:val="num" w:pos="1080"/>
        </w:tabs>
        <w:ind w:left="1080" w:hanging="360"/>
        <w:rPr>
          <w:i/>
        </w:rPr>
      </w:pPr>
      <w:r w:rsidRPr="006243B7">
        <w:t>3.</w:t>
      </w:r>
      <w:r w:rsidRPr="006243B7">
        <w:tab/>
      </w:r>
      <w:r w:rsidR="00B56B5E" w:rsidRPr="00E162CD">
        <w:t>Flushing of parts using a flexible hose or other flushing device shall be performed only within the freeboard area of the cold cleaning machine. The solvent spray shall be a solid fluid stream, not an atomized or shower spray, at a pressure that does not exceed ten pounds (10 lb.) per square inch gauge (psig);</w:t>
      </w:r>
      <w:r w:rsidR="00A3222F">
        <w:t xml:space="preserve"> </w:t>
      </w:r>
      <w:r w:rsidR="00A3222F">
        <w:rPr>
          <w:i/>
        </w:rPr>
        <w:t>Note that this activity is not permitted when using the cold cleaning machines covered by permits 7119 and 7210 as the freeboard ratio is not sufficient to allow for operations to occur with the cover open.</w:t>
      </w:r>
    </w:p>
    <w:p w:rsidR="00B56B5E" w:rsidRDefault="00B56B5E" w:rsidP="00500AF8">
      <w:pPr>
        <w:tabs>
          <w:tab w:val="num" w:pos="1080"/>
        </w:tabs>
        <w:ind w:left="1080" w:hanging="360"/>
      </w:pPr>
    </w:p>
    <w:p w:rsidR="00B56B5E" w:rsidRDefault="00B56B5E" w:rsidP="00500AF8">
      <w:pPr>
        <w:tabs>
          <w:tab w:val="num" w:pos="1080"/>
        </w:tabs>
        <w:ind w:left="1080" w:hanging="360"/>
      </w:pPr>
      <w:r>
        <w:t>4.</w:t>
      </w:r>
      <w:r>
        <w:tab/>
      </w:r>
      <w:r w:rsidRPr="00E162CD">
        <w:t xml:space="preserve">The </w:t>
      </w:r>
      <w:r w:rsidR="00A3222F">
        <w:t>P</w:t>
      </w:r>
      <w:r w:rsidR="00D8387D">
        <w:t>ermittee</w:t>
      </w:r>
      <w:r w:rsidRPr="00E162CD">
        <w:t xml:space="preserve"> shall ensure that when the cover is open, the cold cleaning machine is not exposed to drafts greater than forty meters (40 m.) per minute (one hundred thirty-two feet (132 ft.) per minute), as measured between one meter (1 m.) and two meters (2 m.) (three and three tenths feet (3.3 ft.) and six and six tenths feet (6.6 ft.) upwind, and at the same elevation as the tank lip;</w:t>
      </w:r>
    </w:p>
    <w:p w:rsidR="00B56B5E" w:rsidRDefault="00B56B5E" w:rsidP="00500AF8">
      <w:pPr>
        <w:tabs>
          <w:tab w:val="num" w:pos="1080"/>
        </w:tabs>
        <w:ind w:left="1080" w:hanging="360"/>
      </w:pPr>
    </w:p>
    <w:p w:rsidR="00B56B5E" w:rsidRDefault="00B56B5E" w:rsidP="00785061">
      <w:pPr>
        <w:widowControl w:val="0"/>
        <w:tabs>
          <w:tab w:val="left" w:pos="1080"/>
        </w:tabs>
        <w:overflowPunct w:val="0"/>
        <w:autoSpaceDE w:val="0"/>
        <w:autoSpaceDN w:val="0"/>
        <w:adjustRightInd w:val="0"/>
        <w:ind w:left="1080" w:hanging="1080"/>
      </w:pPr>
      <w:r>
        <w:t xml:space="preserve">            5.   </w:t>
      </w:r>
      <w:r w:rsidRPr="00E162CD">
        <w:t>Sponges, fabric, wood, leather, paper products, and other absorbent materials shall not be cleaned in the cold cleaning machine;</w:t>
      </w:r>
    </w:p>
    <w:p w:rsidR="00785061" w:rsidRDefault="00785061" w:rsidP="00785061">
      <w:pPr>
        <w:widowControl w:val="0"/>
        <w:tabs>
          <w:tab w:val="left" w:pos="1080"/>
        </w:tabs>
        <w:overflowPunct w:val="0"/>
        <w:autoSpaceDE w:val="0"/>
        <w:autoSpaceDN w:val="0"/>
        <w:adjustRightInd w:val="0"/>
        <w:ind w:left="1080" w:hanging="1080"/>
      </w:pPr>
    </w:p>
    <w:p w:rsidR="00785061" w:rsidRDefault="00785061" w:rsidP="00785061">
      <w:pPr>
        <w:widowControl w:val="0"/>
        <w:tabs>
          <w:tab w:val="left" w:pos="1080"/>
        </w:tabs>
        <w:overflowPunct w:val="0"/>
        <w:autoSpaceDE w:val="0"/>
        <w:autoSpaceDN w:val="0"/>
        <w:adjustRightInd w:val="0"/>
        <w:ind w:left="1080" w:hanging="1080"/>
      </w:pPr>
      <w:r>
        <w:t xml:space="preserve">            6.</w:t>
      </w:r>
      <w:r>
        <w:tab/>
      </w:r>
      <w:r w:rsidRPr="00E162CD">
        <w:t>When a pump</w:t>
      </w:r>
      <w:r w:rsidRPr="00E162CD">
        <w:noBreakHyphen/>
        <w:t>agitated solvent bath is used, the agitator shall be operated to produce a rolling motion of the solvent with no observable splashing of the solvent against the tank walls or the parts being cleaned. Air-agitated solvent baths may not be used;</w:t>
      </w:r>
    </w:p>
    <w:p w:rsidR="00785061" w:rsidRDefault="00785061" w:rsidP="00785061">
      <w:pPr>
        <w:widowControl w:val="0"/>
        <w:tabs>
          <w:tab w:val="left" w:pos="1080"/>
        </w:tabs>
        <w:overflowPunct w:val="0"/>
        <w:autoSpaceDE w:val="0"/>
        <w:autoSpaceDN w:val="0"/>
        <w:adjustRightInd w:val="0"/>
        <w:ind w:left="1080" w:hanging="1080"/>
      </w:pPr>
    </w:p>
    <w:p w:rsidR="00785061" w:rsidRDefault="00785061" w:rsidP="00785061">
      <w:pPr>
        <w:widowControl w:val="0"/>
        <w:tabs>
          <w:tab w:val="left" w:pos="1080"/>
        </w:tabs>
        <w:overflowPunct w:val="0"/>
        <w:autoSpaceDE w:val="0"/>
        <w:autoSpaceDN w:val="0"/>
        <w:adjustRightInd w:val="0"/>
        <w:ind w:left="1080" w:hanging="1080"/>
      </w:pPr>
      <w:r>
        <w:t xml:space="preserve">            7.</w:t>
      </w:r>
      <w:r>
        <w:tab/>
      </w:r>
      <w:r w:rsidRPr="00E162CD">
        <w:t>Spills during solvent transfer and use of the cold cleaning machine shall be cleaned up immediately, and the wipe rags or other absorbent materials shall be immediately stored in covered containers for disposal or recycling;</w:t>
      </w:r>
    </w:p>
    <w:p w:rsidR="00785061" w:rsidRDefault="00785061" w:rsidP="00785061">
      <w:pPr>
        <w:widowControl w:val="0"/>
        <w:tabs>
          <w:tab w:val="left" w:pos="1080"/>
        </w:tabs>
        <w:overflowPunct w:val="0"/>
        <w:autoSpaceDE w:val="0"/>
        <w:autoSpaceDN w:val="0"/>
        <w:adjustRightInd w:val="0"/>
        <w:ind w:left="1080" w:hanging="1080"/>
      </w:pPr>
    </w:p>
    <w:p w:rsidR="00785061" w:rsidRDefault="00785061" w:rsidP="00785061">
      <w:pPr>
        <w:widowControl w:val="0"/>
        <w:tabs>
          <w:tab w:val="left" w:pos="1080"/>
        </w:tabs>
        <w:overflowPunct w:val="0"/>
        <w:autoSpaceDE w:val="0"/>
        <w:autoSpaceDN w:val="0"/>
        <w:adjustRightInd w:val="0"/>
        <w:ind w:left="1080" w:hanging="1080"/>
      </w:pPr>
      <w:r>
        <w:t xml:space="preserve">            8.</w:t>
      </w:r>
      <w:r>
        <w:tab/>
      </w:r>
      <w:r w:rsidRPr="00E162CD">
        <w:t>Work area fans shall be located and positioned so that they do not blow across the opening of the degreaser unit; and</w:t>
      </w:r>
    </w:p>
    <w:p w:rsidR="00785061" w:rsidRDefault="00785061" w:rsidP="00785061">
      <w:pPr>
        <w:widowControl w:val="0"/>
        <w:tabs>
          <w:tab w:val="left" w:pos="1080"/>
        </w:tabs>
        <w:overflowPunct w:val="0"/>
        <w:autoSpaceDE w:val="0"/>
        <w:autoSpaceDN w:val="0"/>
        <w:adjustRightInd w:val="0"/>
        <w:ind w:left="1080" w:hanging="1080"/>
      </w:pPr>
    </w:p>
    <w:p w:rsidR="00785061" w:rsidRPr="00E162CD" w:rsidRDefault="00785061" w:rsidP="00785061">
      <w:pPr>
        <w:widowControl w:val="0"/>
        <w:tabs>
          <w:tab w:val="left" w:pos="1080"/>
        </w:tabs>
        <w:overflowPunct w:val="0"/>
        <w:autoSpaceDE w:val="0"/>
        <w:autoSpaceDN w:val="0"/>
        <w:adjustRightInd w:val="0"/>
        <w:ind w:left="1080" w:hanging="1080"/>
      </w:pPr>
      <w:r>
        <w:t xml:space="preserve">            9.</w:t>
      </w:r>
      <w:r>
        <w:tab/>
      </w:r>
      <w:r w:rsidRPr="00E162CD">
        <w:t xml:space="preserve">The </w:t>
      </w:r>
      <w:r w:rsidR="00A46A2C">
        <w:t>P</w:t>
      </w:r>
      <w:r w:rsidR="00D8387D">
        <w:t>ermittee</w:t>
      </w:r>
      <w:r w:rsidRPr="00E162CD">
        <w:t xml:space="preserve"> shall ensure that the solvent level does not exceed the fill line.</w:t>
      </w:r>
    </w:p>
    <w:p w:rsidR="00B56B5E" w:rsidRPr="006243B7" w:rsidRDefault="00B56B5E" w:rsidP="00500AF8">
      <w:pPr>
        <w:tabs>
          <w:tab w:val="num" w:pos="1080"/>
        </w:tabs>
        <w:ind w:left="1080" w:hanging="360"/>
      </w:pPr>
    </w:p>
    <w:p w:rsidR="00610233" w:rsidRDefault="002630BA" w:rsidP="00500AF8">
      <w:pPr>
        <w:ind w:left="720" w:hanging="360"/>
      </w:pPr>
      <w:r>
        <w:t>d</w:t>
      </w:r>
      <w:r w:rsidR="00500AF8" w:rsidRPr="006243B7">
        <w:t>.</w:t>
      </w:r>
      <w:r w:rsidR="00500AF8" w:rsidRPr="006243B7">
        <w:tab/>
      </w:r>
      <w:r w:rsidR="00785061" w:rsidRPr="00E162CD">
        <w:t>Any solvent for use in a cold cleaning machine shall not have a vapor pressure of one millimeter of mercury (1.0 mm. Hg) or greater, measured at twenty degrees Celsius (20</w:t>
      </w:r>
      <w:r w:rsidR="00785061" w:rsidRPr="00E162CD">
        <w:rPr>
          <w:vertAlign w:val="superscript"/>
        </w:rPr>
        <w:t xml:space="preserve">o </w:t>
      </w:r>
      <w:r w:rsidR="00785061" w:rsidRPr="00E162CD">
        <w:t>C) or sixty-eight degrees Fahrenheit (68° F) containing VOCs</w:t>
      </w:r>
      <w:r w:rsidR="00785061">
        <w:t xml:space="preserve"> [20 DCMR 764.5]</w:t>
      </w:r>
      <w:r w:rsidR="00785061" w:rsidRPr="00E162CD">
        <w:t>;</w:t>
      </w:r>
    </w:p>
    <w:p w:rsidR="00785061" w:rsidRDefault="00785061" w:rsidP="00500AF8">
      <w:pPr>
        <w:ind w:left="720" w:hanging="360"/>
      </w:pPr>
    </w:p>
    <w:p w:rsidR="000F466A" w:rsidRDefault="002630BA" w:rsidP="000F466A">
      <w:pPr>
        <w:ind w:left="720" w:hanging="360"/>
      </w:pPr>
      <w:r>
        <w:t>e</w:t>
      </w:r>
      <w:r w:rsidR="00500AF8" w:rsidRPr="006243B7">
        <w:t>.</w:t>
      </w:r>
      <w:r w:rsidR="00500AF8" w:rsidRPr="006243B7">
        <w:tab/>
      </w:r>
      <w:r w:rsidR="00EF2FC9" w:rsidRPr="00E162CD">
        <w:t>A person who sells or offers for sale any solvent containing VOCs for use in a cold cleaning machine shall provide the following written information to the purchaser</w:t>
      </w:r>
      <w:r w:rsidR="00EF2FC9">
        <w:t xml:space="preserve"> [20 DCMR 764.6]</w:t>
      </w:r>
      <w:r w:rsidR="00EF2FC9" w:rsidRPr="00E162CD">
        <w:t>:</w:t>
      </w:r>
    </w:p>
    <w:p w:rsidR="00C55769" w:rsidRPr="006243B7" w:rsidRDefault="00C55769" w:rsidP="00500AF8">
      <w:pPr>
        <w:ind w:left="720" w:hanging="360"/>
      </w:pPr>
    </w:p>
    <w:p w:rsidR="00EF2FC9" w:rsidRDefault="00EF2FC9" w:rsidP="00EF2FC9">
      <w:pPr>
        <w:widowControl w:val="0"/>
        <w:tabs>
          <w:tab w:val="left" w:pos="1080"/>
        </w:tabs>
        <w:overflowPunct w:val="0"/>
        <w:autoSpaceDE w:val="0"/>
        <w:autoSpaceDN w:val="0"/>
        <w:adjustRightInd w:val="0"/>
        <w:ind w:left="1080" w:hanging="1080"/>
      </w:pPr>
      <w:r>
        <w:t xml:space="preserve">            1.</w:t>
      </w:r>
      <w:r>
        <w:tab/>
      </w:r>
      <w:r w:rsidRPr="00142E27">
        <w:t>The name and address of the solvent supplier;</w:t>
      </w:r>
    </w:p>
    <w:p w:rsidR="00EF2FC9" w:rsidRDefault="00EF2FC9" w:rsidP="00EF2FC9">
      <w:pPr>
        <w:widowControl w:val="0"/>
        <w:tabs>
          <w:tab w:val="left" w:pos="1080"/>
        </w:tabs>
        <w:overflowPunct w:val="0"/>
        <w:autoSpaceDE w:val="0"/>
        <w:autoSpaceDN w:val="0"/>
        <w:adjustRightInd w:val="0"/>
        <w:ind w:left="1080" w:hanging="1080"/>
      </w:pPr>
    </w:p>
    <w:p w:rsidR="00EF2FC9" w:rsidRDefault="00EF2FC9" w:rsidP="00EF2FC9">
      <w:pPr>
        <w:widowControl w:val="0"/>
        <w:tabs>
          <w:tab w:val="left" w:pos="720"/>
          <w:tab w:val="left" w:pos="1080"/>
        </w:tabs>
        <w:overflowPunct w:val="0"/>
        <w:autoSpaceDE w:val="0"/>
        <w:autoSpaceDN w:val="0"/>
        <w:adjustRightInd w:val="0"/>
        <w:ind w:left="1080" w:hanging="1080"/>
      </w:pPr>
      <w:r>
        <w:t xml:space="preserve">            2.   </w:t>
      </w:r>
      <w:r w:rsidRPr="00142E27">
        <w:t>The type of solvent, including the product or vendor identification number;</w:t>
      </w:r>
      <w:r>
        <w:t xml:space="preserve"> </w:t>
      </w:r>
      <w:r w:rsidRPr="00E162CD">
        <w:t>and</w:t>
      </w:r>
    </w:p>
    <w:p w:rsidR="00DC65A3" w:rsidRPr="006243B7" w:rsidRDefault="00EF2FC9" w:rsidP="00AA203F">
      <w:pPr>
        <w:ind w:left="1080" w:hanging="720"/>
      </w:pPr>
      <w:r>
        <w:lastRenderedPageBreak/>
        <w:t xml:space="preserve">      3.   </w:t>
      </w:r>
      <w:r w:rsidR="002630BA" w:rsidRPr="00142E27">
        <w:t>The vapor pressure of the solvent, measured in millimeters of mercury (mm Hg) at twenty degrees Celsius (20</w:t>
      </w:r>
      <w:r w:rsidR="002630BA" w:rsidRPr="00142E27">
        <w:rPr>
          <w:vertAlign w:val="superscript"/>
        </w:rPr>
        <w:t xml:space="preserve">o </w:t>
      </w:r>
      <w:r w:rsidR="002630BA" w:rsidRPr="00142E27">
        <w:t>C) or sixty-eight degrees Fahrenheit (68° F)</w:t>
      </w:r>
      <w:r w:rsidR="002630BA">
        <w:t>.</w:t>
      </w:r>
    </w:p>
    <w:p w:rsidR="00500AF8" w:rsidRDefault="00500AF8" w:rsidP="00500AF8">
      <w:pPr>
        <w:ind w:left="360" w:hanging="360"/>
      </w:pPr>
    </w:p>
    <w:p w:rsidR="00DA548F" w:rsidRDefault="00DA548F" w:rsidP="00500AF8">
      <w:pPr>
        <w:ind w:left="360" w:hanging="360"/>
        <w:rPr>
          <w:u w:val="single"/>
        </w:rPr>
      </w:pPr>
      <w:r>
        <w:t>IV.</w:t>
      </w:r>
      <w:r>
        <w:tab/>
      </w:r>
      <w:r>
        <w:rPr>
          <w:u w:val="single"/>
        </w:rPr>
        <w:t>Monitoring and Testing Requirements:</w:t>
      </w:r>
    </w:p>
    <w:p w:rsidR="00DA548F" w:rsidRDefault="00DA548F" w:rsidP="00DA548F"/>
    <w:p w:rsidR="00DA548F" w:rsidRDefault="007C0C30" w:rsidP="007C0C30">
      <w:pPr>
        <w:tabs>
          <w:tab w:val="left" w:pos="720"/>
        </w:tabs>
        <w:ind w:left="720" w:hanging="720"/>
      </w:pPr>
      <w:r>
        <w:t xml:space="preserve">      a</w:t>
      </w:r>
      <w:r w:rsidR="00A46A2C">
        <w:t>.</w:t>
      </w:r>
      <w:r w:rsidR="00A46A2C">
        <w:tab/>
        <w:t>The P</w:t>
      </w:r>
      <w:r w:rsidR="00DA548F">
        <w:t xml:space="preserve">ermittee shall monitor any odor emitted from the facility and take any actions necessary to ensure compliance with Condition </w:t>
      </w:r>
      <w:proofErr w:type="gramStart"/>
      <w:r w:rsidR="00DA548F">
        <w:t>II(</w:t>
      </w:r>
      <w:proofErr w:type="gramEnd"/>
      <w:r w:rsidR="00DA548F">
        <w:t>a).</w:t>
      </w:r>
    </w:p>
    <w:p w:rsidR="00DA548F" w:rsidRDefault="00DA548F" w:rsidP="00DA548F">
      <w:pPr>
        <w:ind w:left="720" w:hanging="720"/>
      </w:pPr>
    </w:p>
    <w:p w:rsidR="00DA548F" w:rsidRDefault="00A46A2C" w:rsidP="00DA548F">
      <w:pPr>
        <w:ind w:left="720" w:hanging="360"/>
      </w:pPr>
      <w:r>
        <w:t>b.</w:t>
      </w:r>
      <w:r>
        <w:tab/>
        <w:t>The P</w:t>
      </w:r>
      <w:r w:rsidR="00DA548F">
        <w:t>ermittee shall monitor the o</w:t>
      </w:r>
      <w:r>
        <w:t xml:space="preserve">perating procedures and operations of the cold </w:t>
      </w:r>
      <w:r w:rsidR="00DA548F">
        <w:t xml:space="preserve">cleaning </w:t>
      </w:r>
      <w:r>
        <w:t>machines</w:t>
      </w:r>
      <w:r w:rsidR="00DA548F">
        <w:t xml:space="preserve"> to ensure compliance with Condition </w:t>
      </w:r>
      <w:proofErr w:type="gramStart"/>
      <w:r w:rsidR="00DA548F">
        <w:t>III(</w:t>
      </w:r>
      <w:proofErr w:type="gramEnd"/>
      <w:r w:rsidR="00DA548F">
        <w:t>b), (c) and (d).</w:t>
      </w:r>
    </w:p>
    <w:p w:rsidR="00DA548F" w:rsidRDefault="00DA548F" w:rsidP="00DA548F">
      <w:r>
        <w:tab/>
      </w:r>
    </w:p>
    <w:p w:rsidR="00500AF8" w:rsidRPr="006243B7" w:rsidRDefault="00500AF8" w:rsidP="00500AF8">
      <w:pPr>
        <w:ind w:left="360" w:hanging="360"/>
      </w:pPr>
      <w:r w:rsidRPr="006243B7">
        <w:t>V.</w:t>
      </w:r>
      <w:r w:rsidRPr="006243B7">
        <w:tab/>
      </w:r>
      <w:r w:rsidRPr="006243B7">
        <w:rPr>
          <w:u w:val="single"/>
        </w:rPr>
        <w:t>Record Keeping Requirements:</w:t>
      </w:r>
    </w:p>
    <w:p w:rsidR="00500AF8" w:rsidRPr="006243B7" w:rsidRDefault="00500AF8" w:rsidP="00500AF8">
      <w:pPr>
        <w:ind w:left="360" w:hanging="360"/>
      </w:pPr>
    </w:p>
    <w:p w:rsidR="000F466A" w:rsidRDefault="000F466A" w:rsidP="00576813">
      <w:pPr>
        <w:ind w:left="720" w:hanging="360"/>
      </w:pPr>
      <w:r w:rsidRPr="006243B7">
        <w:t>a.</w:t>
      </w:r>
      <w:r w:rsidRPr="006243B7">
        <w:tab/>
      </w:r>
      <w:r w:rsidR="00576813" w:rsidRPr="00142E27">
        <w:t xml:space="preserve">The Permittee shall maintain for not less than </w:t>
      </w:r>
      <w:r w:rsidR="00576813">
        <w:t>five (5</w:t>
      </w:r>
      <w:r w:rsidR="00576813" w:rsidRPr="00142E27">
        <w:t xml:space="preserve">) years and shall provide to the Department, on request, the information specified in </w:t>
      </w:r>
      <w:r w:rsidR="00576813">
        <w:t xml:space="preserve">Condition </w:t>
      </w:r>
      <w:r w:rsidR="002630BA">
        <w:t>III</w:t>
      </w:r>
      <w:r w:rsidR="00DA65FC">
        <w:t>(e</w:t>
      </w:r>
      <w:r w:rsidR="00576813" w:rsidRPr="00142E27">
        <w:t>). An invoice, bill of sale, certificate that corresponds to a number of sales, Material Safety Data Sheet (MSDS), or other appropriate documentation acceptable to the Department may be used to comply with this section.</w:t>
      </w:r>
      <w:r w:rsidR="00576813">
        <w:t xml:space="preserve"> [20 DCMR 764.7 and 20 DCMR 302.1(c</w:t>
      </w:r>
      <w:proofErr w:type="gramStart"/>
      <w:r w:rsidR="00576813">
        <w:t>)(</w:t>
      </w:r>
      <w:proofErr w:type="gramEnd"/>
      <w:r w:rsidR="00576813">
        <w:t>2)(B)]</w:t>
      </w:r>
    </w:p>
    <w:p w:rsidR="005924D8" w:rsidRDefault="005924D8" w:rsidP="00576813">
      <w:pPr>
        <w:ind w:left="720" w:hanging="360"/>
      </w:pPr>
    </w:p>
    <w:p w:rsidR="005924D8" w:rsidRDefault="005924D8" w:rsidP="00576813">
      <w:pPr>
        <w:ind w:left="720" w:hanging="360"/>
      </w:pPr>
      <w:r>
        <w:t>b.</w:t>
      </w:r>
      <w:r>
        <w:tab/>
        <w:t>If any of the units covered herein are moved to a different location in the facility than that specified in the table at the beginning of this permit document, the Permittee shall submit, in writing, a notification of which unit is being moved, its associated permit number, and its new location, to the following address, within ten business days of the relocation:</w:t>
      </w:r>
    </w:p>
    <w:p w:rsidR="005924D8" w:rsidRDefault="005924D8" w:rsidP="00576813">
      <w:pPr>
        <w:ind w:left="720" w:hanging="360"/>
      </w:pPr>
    </w:p>
    <w:p w:rsidR="00E56A78" w:rsidRPr="007D36B4" w:rsidRDefault="00E56A78" w:rsidP="00E56A78">
      <w:pPr>
        <w:tabs>
          <w:tab w:val="left" w:pos="-1440"/>
          <w:tab w:val="left" w:pos="720"/>
        </w:tabs>
        <w:spacing w:after="240"/>
        <w:ind w:left="720"/>
        <w:contextualSpacing/>
      </w:pPr>
      <w:r w:rsidRPr="007D36B4">
        <w:t xml:space="preserve">Chief, </w:t>
      </w:r>
      <w:r>
        <w:t>Permitting</w:t>
      </w:r>
      <w:r w:rsidRPr="007D36B4">
        <w:t xml:space="preserve"> Branch</w:t>
      </w:r>
    </w:p>
    <w:p w:rsidR="00E56A78" w:rsidRPr="007D36B4" w:rsidRDefault="00E56A78" w:rsidP="00E56A78">
      <w:pPr>
        <w:tabs>
          <w:tab w:val="left" w:pos="-1440"/>
          <w:tab w:val="left" w:pos="720"/>
        </w:tabs>
        <w:spacing w:after="240"/>
        <w:ind w:left="720"/>
        <w:contextualSpacing/>
      </w:pPr>
      <w:r w:rsidRPr="007D36B4">
        <w:t>Air Quality Division</w:t>
      </w:r>
    </w:p>
    <w:p w:rsidR="00E56A78" w:rsidRPr="007D36B4" w:rsidRDefault="00E56A78" w:rsidP="00E56A78">
      <w:pPr>
        <w:tabs>
          <w:tab w:val="left" w:pos="-1440"/>
          <w:tab w:val="left" w:pos="720"/>
        </w:tabs>
        <w:spacing w:after="240"/>
        <w:ind w:left="720"/>
        <w:contextualSpacing/>
      </w:pPr>
      <w:r w:rsidRPr="007D36B4">
        <w:t>1200 First Street NE</w:t>
      </w:r>
      <w:r>
        <w:t xml:space="preserve">, </w:t>
      </w:r>
      <w:r w:rsidRPr="007D36B4">
        <w:t>5th Floor</w:t>
      </w:r>
    </w:p>
    <w:p w:rsidR="00E56A78" w:rsidRDefault="00E56A78" w:rsidP="00E56A78">
      <w:pPr>
        <w:tabs>
          <w:tab w:val="left" w:pos="-1440"/>
          <w:tab w:val="left" w:pos="720"/>
        </w:tabs>
        <w:spacing w:after="240"/>
        <w:ind w:left="720"/>
        <w:contextualSpacing/>
      </w:pPr>
      <w:r w:rsidRPr="007D36B4">
        <w:t>Washington, DC 20002</w:t>
      </w:r>
    </w:p>
    <w:p w:rsidR="00576813" w:rsidRDefault="00576813" w:rsidP="00C60F51"/>
    <w:p w:rsidR="00500AF8" w:rsidRDefault="00500AF8" w:rsidP="00500AF8">
      <w:r w:rsidRPr="006243B7">
        <w:t>If you</w:t>
      </w:r>
      <w:r w:rsidR="00E56A78">
        <w:t xml:space="preserve"> have any questions, please contact</w:t>
      </w:r>
      <w:r w:rsidRPr="006243B7">
        <w:t xml:space="preserve"> me at (202) 535-1747</w:t>
      </w:r>
      <w:r w:rsidR="00E56A78">
        <w:t xml:space="preserve"> or </w:t>
      </w:r>
      <w:hyperlink r:id="rId9" w:history="1">
        <w:r w:rsidR="00E56A78" w:rsidRPr="00E56A78">
          <w:rPr>
            <w:rStyle w:val="Hyperlink"/>
            <w:color w:val="000000" w:themeColor="text1"/>
          </w:rPr>
          <w:t>stephen.ours@dc.gov</w:t>
        </w:r>
      </w:hyperlink>
      <w:r>
        <w:t>.</w:t>
      </w:r>
    </w:p>
    <w:p w:rsidR="00500AF8" w:rsidRDefault="00500AF8" w:rsidP="00500AF8"/>
    <w:p w:rsidR="000F466A" w:rsidRPr="006243B7" w:rsidRDefault="000F466A" w:rsidP="00500AF8"/>
    <w:p w:rsidR="00500AF8" w:rsidRPr="006243B7" w:rsidRDefault="00500AF8" w:rsidP="00500AF8">
      <w:pPr>
        <w:pStyle w:val="Signature"/>
      </w:pPr>
      <w:r w:rsidRPr="006243B7">
        <w:t>Sincerely,</w:t>
      </w:r>
    </w:p>
    <w:p w:rsidR="00500AF8" w:rsidRDefault="00500AF8" w:rsidP="00500AF8"/>
    <w:p w:rsidR="00A868DD" w:rsidRPr="006243B7" w:rsidRDefault="00A868DD" w:rsidP="00500AF8"/>
    <w:p w:rsidR="00500AF8" w:rsidRPr="006243B7" w:rsidRDefault="00500AF8" w:rsidP="00500AF8"/>
    <w:p w:rsidR="00500AF8" w:rsidRDefault="00500AF8" w:rsidP="00500AF8">
      <w:r w:rsidRPr="006243B7">
        <w:t>Stephen S. Ours</w:t>
      </w:r>
      <w:r>
        <w:t>, P.E</w:t>
      </w:r>
      <w:r w:rsidR="000F466A">
        <w:t>.</w:t>
      </w:r>
    </w:p>
    <w:p w:rsidR="00500AF8" w:rsidRPr="006243B7" w:rsidRDefault="00500AF8" w:rsidP="00500AF8">
      <w:r w:rsidRPr="006243B7">
        <w:t>Chief</w:t>
      </w:r>
      <w:r>
        <w:t xml:space="preserve">, </w:t>
      </w:r>
      <w:r w:rsidRPr="006243B7">
        <w:t>Permitting Branch</w:t>
      </w:r>
    </w:p>
    <w:p w:rsidR="00500AF8" w:rsidRDefault="00500AF8" w:rsidP="00500AF8"/>
    <w:p w:rsidR="00EB73C8" w:rsidRPr="00E162CD" w:rsidRDefault="00A46A2C" w:rsidP="00576813">
      <w:r>
        <w:t>SSO</w:t>
      </w:r>
      <w:r w:rsidR="00EB73C8" w:rsidRPr="00E162CD">
        <w:t> </w:t>
      </w:r>
    </w:p>
    <w:p w:rsidR="00EB73C8" w:rsidRPr="00E162CD" w:rsidRDefault="00EB73C8" w:rsidP="00EB73C8">
      <w:pPr>
        <w:tabs>
          <w:tab w:val="left" w:pos="1440"/>
          <w:tab w:val="left" w:pos="1800"/>
          <w:tab w:val="left" w:pos="2160"/>
          <w:tab w:val="left" w:pos="2520"/>
        </w:tabs>
        <w:overflowPunct w:val="0"/>
        <w:ind w:left="1800" w:hanging="2160"/>
      </w:pPr>
      <w:r w:rsidRPr="00E162CD">
        <w:t> </w:t>
      </w:r>
    </w:p>
    <w:p w:rsidR="00EB73C8" w:rsidRPr="00882CD3" w:rsidRDefault="00EB73C8" w:rsidP="00576813">
      <w:pPr>
        <w:overflowPunct w:val="0"/>
      </w:pPr>
      <w:r w:rsidRPr="00142E27">
        <w:t> </w:t>
      </w:r>
    </w:p>
    <w:sectPr w:rsidR="00EB73C8" w:rsidRPr="00882CD3" w:rsidSect="00426A44">
      <w:headerReference w:type="default" r:id="rId10"/>
      <w:headerReference w:type="first" r:id="rId11"/>
      <w:footerReference w:type="first" r:id="rId12"/>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8F" w:rsidRDefault="00DA548F">
      <w:r>
        <w:separator/>
      </w:r>
    </w:p>
  </w:endnote>
  <w:endnote w:type="continuationSeparator" w:id="0">
    <w:p w:rsidR="00DA548F" w:rsidRDefault="00DA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44" w:rsidRPr="0030116A" w:rsidRDefault="00426A44" w:rsidP="00426A44">
    <w:pPr>
      <w:pStyle w:val="Footer"/>
      <w:tabs>
        <w:tab w:val="clear" w:pos="4320"/>
        <w:tab w:val="clear" w:pos="8640"/>
        <w:tab w:val="right" w:pos="-4680"/>
      </w:tabs>
      <w:jc w:val="center"/>
      <w:rPr>
        <w:rFonts w:ascii="Century Gothic" w:hAnsi="Century Gothic"/>
        <w:sz w:val="19"/>
        <w:szCs w:val="19"/>
      </w:rPr>
    </w:pPr>
    <w:r>
      <w:rPr>
        <w:rFonts w:ascii="Century Gothic" w:hAnsi="Century Gothic"/>
        <w:noProof/>
      </w:rPr>
      <mc:AlternateContent>
        <mc:Choice Requires="wps">
          <w:drawing>
            <wp:anchor distT="0" distB="0" distL="114300" distR="114300" simplePos="0" relativeHeight="251660288" behindDoc="0" locked="0" layoutInCell="1" allowOverlap="1" wp14:anchorId="307F5461" wp14:editId="1FD4E8BA">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rFonts w:ascii="Century Gothic" w:hAnsi="Century Gothic"/>
        <w:noProof/>
      </w:rPr>
      <mc:AlternateContent>
        <mc:Choice Requires="wps">
          <w:drawing>
            <wp:anchor distT="0" distB="0" distL="114300" distR="114300" simplePos="0" relativeHeight="251659264" behindDoc="1" locked="0" layoutInCell="1" allowOverlap="1" wp14:anchorId="45F0F918" wp14:editId="4890D92C">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" stroked="f">
              <w10:wrap type="square"/>
            </v:rect>
          </w:pict>
        </mc:Fallback>
      </mc:AlternateContent>
    </w:r>
    <w:r w:rsidRPr="0030116A">
      <w:rPr>
        <w:rFonts w:ascii="Century Gothic" w:hAnsi="Century Gothic"/>
        <w:noProof/>
        <w:sz w:val="20"/>
        <w:szCs w:val="20"/>
      </w:rPr>
      <w:drawing>
        <wp:anchor distT="0" distB="0" distL="114300" distR="114300" simplePos="0" relativeHeight="251662336" behindDoc="0" locked="0" layoutInCell="1" allowOverlap="1" wp14:anchorId="77E84373" wp14:editId="24708425">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1">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20"/>
        <w:szCs w:val="20"/>
      </w:rPr>
      <w:drawing>
        <wp:anchor distT="0" distB="0" distL="114300" distR="114300" simplePos="0" relativeHeight="251661312" behindDoc="0" locked="0" layoutInCell="1" allowOverlap="1" wp14:anchorId="0B8A528A" wp14:editId="548D3C77">
          <wp:simplePos x="0" y="0"/>
          <wp:positionH relativeFrom="page">
            <wp:posOffset>228600</wp:posOffset>
          </wp:positionH>
          <wp:positionV relativeFrom="paragraph">
            <wp:posOffset>-228600</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20"/>
        <w:szCs w:val="20"/>
      </w:rPr>
      <w:t xml:space="preserve">    </w:t>
    </w:r>
    <w:r>
      <w:rPr>
        <w:rFonts w:ascii="Century Gothic" w:hAnsi="Century Gothic"/>
        <w:sz w:val="20"/>
        <w:szCs w:val="20"/>
      </w:rPr>
      <w:t xml:space="preserve">        </w:t>
    </w:r>
    <w:r w:rsidRPr="0030116A">
      <w:rPr>
        <w:rFonts w:ascii="Century Gothic" w:hAnsi="Century Gothic"/>
        <w:sz w:val="19"/>
        <w:szCs w:val="19"/>
      </w:rPr>
      <w:t xml:space="preserve">1200 First Street NE, 5th Floor, Washington, DC 20002 </w:t>
    </w:r>
    <w:r>
      <w:rPr>
        <w:rFonts w:ascii="Century Gothic" w:hAnsi="Century Gothic"/>
        <w:sz w:val="19"/>
        <w:szCs w:val="19"/>
      </w:rPr>
      <w:t xml:space="preserve">| (202) 535-2600 | </w:t>
    </w:r>
    <w:r w:rsidRPr="0030116A">
      <w:rPr>
        <w:rFonts w:ascii="Century Gothic" w:hAnsi="Century Gothic"/>
        <w:sz w:val="19"/>
        <w:szCs w:val="19"/>
      </w:rPr>
      <w:t>doee.dc.gov</w:t>
    </w:r>
    <w:r>
      <w:rPr>
        <w:rFonts w:ascii="Century Gothic" w:hAnsi="Century Gothic"/>
        <w:sz w:val="19"/>
        <w:szCs w:val="19"/>
      </w:rPr>
      <w:t xml:space="preserve"> </w:t>
    </w:r>
  </w:p>
  <w:p w:rsidR="00DA548F" w:rsidRPr="00426A44" w:rsidRDefault="00DA548F" w:rsidP="00426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8F" w:rsidRDefault="00DA548F">
      <w:r>
        <w:separator/>
      </w:r>
    </w:p>
  </w:footnote>
  <w:footnote w:type="continuationSeparator" w:id="0">
    <w:p w:rsidR="00DA548F" w:rsidRDefault="00DA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8F" w:rsidRPr="006A109E" w:rsidRDefault="00426A44" w:rsidP="000F466A">
    <w:pPr>
      <w:rPr>
        <w:b/>
      </w:rPr>
    </w:pPr>
    <w:r>
      <w:rPr>
        <w:b/>
      </w:rPr>
      <w:t>U.S. Government Publishing Office</w:t>
    </w:r>
  </w:p>
  <w:p w:rsidR="00DA548F" w:rsidRDefault="00952BFF" w:rsidP="008B0C80">
    <w:pPr>
      <w:pStyle w:val="Header"/>
    </w:pPr>
    <w:r>
      <w:rPr>
        <w:b/>
        <w:bCs/>
      </w:rPr>
      <w:t>Permit Nos. 7117 through 7120 and 7210 to Operate Five Cold Solvent Degreasing Units</w:t>
    </w:r>
    <w:r>
      <w:t xml:space="preserve"> </w:t>
    </w:r>
    <w:r w:rsidR="00426A44">
      <w:t>July 3, 2018</w:t>
    </w:r>
  </w:p>
  <w:p w:rsidR="00DA548F" w:rsidRPr="005B24E6" w:rsidRDefault="00DA548F" w:rsidP="008B0C80">
    <w:pPr>
      <w:pStyle w:val="Header"/>
    </w:pPr>
    <w:r w:rsidRPr="005B24E6">
      <w:t xml:space="preserve">Page </w:t>
    </w:r>
    <w:r w:rsidR="00A30B28">
      <w:fldChar w:fldCharType="begin"/>
    </w:r>
    <w:r w:rsidR="00A30B28">
      <w:instrText xml:space="preserve"> PAGE </w:instrText>
    </w:r>
    <w:r w:rsidR="00A30B28">
      <w:fldChar w:fldCharType="separate"/>
    </w:r>
    <w:r w:rsidR="00D01DF7">
      <w:rPr>
        <w:noProof/>
      </w:rPr>
      <w:t>2</w:t>
    </w:r>
    <w:r w:rsidR="00A30B28">
      <w:rPr>
        <w:noProof/>
      </w:rPr>
      <w:fldChar w:fldCharType="end"/>
    </w:r>
  </w:p>
  <w:p w:rsidR="00DA548F" w:rsidRDefault="00DA5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44" w:rsidRPr="0030116A" w:rsidRDefault="00426A44" w:rsidP="00426A44">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rsidR="00426A44" w:rsidRDefault="00426A44" w:rsidP="00426A44">
    <w:pPr>
      <w:pStyle w:val="Header"/>
    </w:pPr>
  </w:p>
  <w:p w:rsidR="00426A44" w:rsidRPr="00042788" w:rsidRDefault="00426A44" w:rsidP="00426A44">
    <w:pPr>
      <w:pStyle w:val="Header"/>
    </w:pPr>
  </w:p>
  <w:p w:rsidR="00DA548F" w:rsidRPr="00426A44" w:rsidRDefault="00DA548F" w:rsidP="00426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43606A86"/>
    <w:multiLevelType w:val="hybridMultilevel"/>
    <w:tmpl w:val="C6E85106"/>
    <w:lvl w:ilvl="0" w:tplc="7236E86A">
      <w:start w:val="1"/>
      <w:numFmt w:val="lowerRoman"/>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DD307A"/>
    <w:multiLevelType w:val="hybridMultilevel"/>
    <w:tmpl w:val="83247276"/>
    <w:lvl w:ilvl="0" w:tplc="805604B2">
      <w:start w:val="1"/>
      <w:numFmt w:val="upp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2A38F0"/>
    <w:multiLevelType w:val="hybridMultilevel"/>
    <w:tmpl w:val="F6D03592"/>
    <w:lvl w:ilvl="0" w:tplc="59FEFDF8">
      <w:start w:val="1"/>
      <w:numFmt w:val="lowerRoman"/>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3616B6F"/>
    <w:multiLevelType w:val="hybridMultilevel"/>
    <w:tmpl w:val="8808010C"/>
    <w:lvl w:ilvl="0" w:tplc="FFFFFFFF">
      <w:start w:val="1"/>
      <w:numFmt w:val="lowerLetter"/>
      <w:lvlText w:val="%1."/>
      <w:lvlJc w:val="left"/>
      <w:pPr>
        <w:tabs>
          <w:tab w:val="num" w:pos="720"/>
        </w:tabs>
        <w:ind w:left="720" w:hanging="360"/>
      </w:pPr>
      <w:rPr>
        <w:rFonts w:hint="default"/>
      </w:rPr>
    </w:lvl>
    <w:lvl w:ilvl="1" w:tplc="FFFFFFFF">
      <w:start w:val="3"/>
      <w:numFmt w:val="upperRoman"/>
      <w:lvlText w:val="%2."/>
      <w:lvlJc w:val="left"/>
      <w:pPr>
        <w:tabs>
          <w:tab w:val="num" w:pos="1800"/>
        </w:tabs>
        <w:ind w:left="1800" w:hanging="720"/>
      </w:pPr>
      <w:rPr>
        <w:rFonts w:hint="default"/>
        <w:u w:val="single"/>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3DA290A"/>
    <w:multiLevelType w:val="hybridMultilevel"/>
    <w:tmpl w:val="83247276"/>
    <w:lvl w:ilvl="0" w:tplc="805604B2">
      <w:start w:val="1"/>
      <w:numFmt w:val="upp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206F6"/>
    <w:rsid w:val="00025C84"/>
    <w:rsid w:val="0005177E"/>
    <w:rsid w:val="00051EA8"/>
    <w:rsid w:val="00071F3B"/>
    <w:rsid w:val="00090C53"/>
    <w:rsid w:val="000938C8"/>
    <w:rsid w:val="000A115E"/>
    <w:rsid w:val="000D21A7"/>
    <w:rsid w:val="000F0675"/>
    <w:rsid w:val="000F466A"/>
    <w:rsid w:val="000F5A76"/>
    <w:rsid w:val="001146D1"/>
    <w:rsid w:val="00117635"/>
    <w:rsid w:val="00123224"/>
    <w:rsid w:val="001310E0"/>
    <w:rsid w:val="001325FD"/>
    <w:rsid w:val="00177B6C"/>
    <w:rsid w:val="00184A07"/>
    <w:rsid w:val="001A2D01"/>
    <w:rsid w:val="001B1E0A"/>
    <w:rsid w:val="001B4A79"/>
    <w:rsid w:val="001C039F"/>
    <w:rsid w:val="001D2B4A"/>
    <w:rsid w:val="001D5B4E"/>
    <w:rsid w:val="001F1877"/>
    <w:rsid w:val="001F4668"/>
    <w:rsid w:val="001F53E1"/>
    <w:rsid w:val="001F715E"/>
    <w:rsid w:val="00212187"/>
    <w:rsid w:val="00233AD0"/>
    <w:rsid w:val="002630BA"/>
    <w:rsid w:val="00271FB2"/>
    <w:rsid w:val="00273CAE"/>
    <w:rsid w:val="00284344"/>
    <w:rsid w:val="002908A0"/>
    <w:rsid w:val="002923B4"/>
    <w:rsid w:val="00295422"/>
    <w:rsid w:val="002A2519"/>
    <w:rsid w:val="002A4F43"/>
    <w:rsid w:val="002C3391"/>
    <w:rsid w:val="002D0497"/>
    <w:rsid w:val="002E0BA2"/>
    <w:rsid w:val="002E239A"/>
    <w:rsid w:val="002E37D1"/>
    <w:rsid w:val="002F7CF9"/>
    <w:rsid w:val="003173AD"/>
    <w:rsid w:val="00333AA5"/>
    <w:rsid w:val="00364338"/>
    <w:rsid w:val="00367CDF"/>
    <w:rsid w:val="00367F7B"/>
    <w:rsid w:val="00377959"/>
    <w:rsid w:val="00386B9E"/>
    <w:rsid w:val="003B121B"/>
    <w:rsid w:val="003B2CC6"/>
    <w:rsid w:val="003E3592"/>
    <w:rsid w:val="003F1013"/>
    <w:rsid w:val="003F5CE5"/>
    <w:rsid w:val="00410FE3"/>
    <w:rsid w:val="00426A44"/>
    <w:rsid w:val="00447879"/>
    <w:rsid w:val="00451564"/>
    <w:rsid w:val="00461A2E"/>
    <w:rsid w:val="00462A6E"/>
    <w:rsid w:val="0048011A"/>
    <w:rsid w:val="00480BB8"/>
    <w:rsid w:val="00490886"/>
    <w:rsid w:val="00491EC7"/>
    <w:rsid w:val="00493110"/>
    <w:rsid w:val="00493CEA"/>
    <w:rsid w:val="004A1250"/>
    <w:rsid w:val="004A1F09"/>
    <w:rsid w:val="004C41B1"/>
    <w:rsid w:val="004D1B50"/>
    <w:rsid w:val="004E0D87"/>
    <w:rsid w:val="004E4A22"/>
    <w:rsid w:val="004E6B44"/>
    <w:rsid w:val="004F28D3"/>
    <w:rsid w:val="004F2948"/>
    <w:rsid w:val="004F7D23"/>
    <w:rsid w:val="00500AF8"/>
    <w:rsid w:val="0050170D"/>
    <w:rsid w:val="0051575E"/>
    <w:rsid w:val="00540B79"/>
    <w:rsid w:val="00561103"/>
    <w:rsid w:val="0056640B"/>
    <w:rsid w:val="00576813"/>
    <w:rsid w:val="0057729C"/>
    <w:rsid w:val="00590463"/>
    <w:rsid w:val="005924D8"/>
    <w:rsid w:val="005A2EC4"/>
    <w:rsid w:val="005C56C9"/>
    <w:rsid w:val="005D1B70"/>
    <w:rsid w:val="005D2B8D"/>
    <w:rsid w:val="005D72B7"/>
    <w:rsid w:val="00610233"/>
    <w:rsid w:val="006168BC"/>
    <w:rsid w:val="0064606E"/>
    <w:rsid w:val="00653218"/>
    <w:rsid w:val="006713D5"/>
    <w:rsid w:val="006764AE"/>
    <w:rsid w:val="00693F63"/>
    <w:rsid w:val="00694421"/>
    <w:rsid w:val="006A109E"/>
    <w:rsid w:val="006B2128"/>
    <w:rsid w:val="006B610F"/>
    <w:rsid w:val="006B7025"/>
    <w:rsid w:val="006C5FC1"/>
    <w:rsid w:val="006D6321"/>
    <w:rsid w:val="006E4EAA"/>
    <w:rsid w:val="00723B5D"/>
    <w:rsid w:val="00724ADA"/>
    <w:rsid w:val="0073637C"/>
    <w:rsid w:val="00737C82"/>
    <w:rsid w:val="007515AE"/>
    <w:rsid w:val="0076147C"/>
    <w:rsid w:val="0076577A"/>
    <w:rsid w:val="00785061"/>
    <w:rsid w:val="007859D0"/>
    <w:rsid w:val="00785ED5"/>
    <w:rsid w:val="007A6215"/>
    <w:rsid w:val="007C0C30"/>
    <w:rsid w:val="007C35DB"/>
    <w:rsid w:val="007E5DF4"/>
    <w:rsid w:val="007F35DA"/>
    <w:rsid w:val="0080322E"/>
    <w:rsid w:val="008044DA"/>
    <w:rsid w:val="008075F2"/>
    <w:rsid w:val="00812E37"/>
    <w:rsid w:val="00813F57"/>
    <w:rsid w:val="008258F6"/>
    <w:rsid w:val="00854368"/>
    <w:rsid w:val="00854781"/>
    <w:rsid w:val="0088253E"/>
    <w:rsid w:val="00882CD3"/>
    <w:rsid w:val="008B0C80"/>
    <w:rsid w:val="008B769D"/>
    <w:rsid w:val="008C7A19"/>
    <w:rsid w:val="008D0032"/>
    <w:rsid w:val="008D204B"/>
    <w:rsid w:val="008D399E"/>
    <w:rsid w:val="008D758D"/>
    <w:rsid w:val="008E0BA3"/>
    <w:rsid w:val="00900A18"/>
    <w:rsid w:val="009247DE"/>
    <w:rsid w:val="00950713"/>
    <w:rsid w:val="00952BFF"/>
    <w:rsid w:val="00964562"/>
    <w:rsid w:val="00964C32"/>
    <w:rsid w:val="00965454"/>
    <w:rsid w:val="00965DB4"/>
    <w:rsid w:val="00970EE1"/>
    <w:rsid w:val="0097282F"/>
    <w:rsid w:val="00973082"/>
    <w:rsid w:val="00980317"/>
    <w:rsid w:val="009813D6"/>
    <w:rsid w:val="00986C3A"/>
    <w:rsid w:val="009872C7"/>
    <w:rsid w:val="009A1CA4"/>
    <w:rsid w:val="009A2249"/>
    <w:rsid w:val="009B0147"/>
    <w:rsid w:val="009B0D9E"/>
    <w:rsid w:val="009B3CD7"/>
    <w:rsid w:val="009B5736"/>
    <w:rsid w:val="009C06D1"/>
    <w:rsid w:val="009C687A"/>
    <w:rsid w:val="009D04BA"/>
    <w:rsid w:val="009E32D8"/>
    <w:rsid w:val="00A13D66"/>
    <w:rsid w:val="00A1461F"/>
    <w:rsid w:val="00A147AA"/>
    <w:rsid w:val="00A248DA"/>
    <w:rsid w:val="00A25BF7"/>
    <w:rsid w:val="00A30B28"/>
    <w:rsid w:val="00A3222F"/>
    <w:rsid w:val="00A37A8B"/>
    <w:rsid w:val="00A405D7"/>
    <w:rsid w:val="00A40DB4"/>
    <w:rsid w:val="00A43E2A"/>
    <w:rsid w:val="00A46A2C"/>
    <w:rsid w:val="00A47251"/>
    <w:rsid w:val="00A50533"/>
    <w:rsid w:val="00A533B7"/>
    <w:rsid w:val="00A5682D"/>
    <w:rsid w:val="00A67445"/>
    <w:rsid w:val="00A71473"/>
    <w:rsid w:val="00A779B6"/>
    <w:rsid w:val="00A8483C"/>
    <w:rsid w:val="00A8624D"/>
    <w:rsid w:val="00A868DD"/>
    <w:rsid w:val="00A87AE7"/>
    <w:rsid w:val="00A94AA8"/>
    <w:rsid w:val="00A94F47"/>
    <w:rsid w:val="00A9664C"/>
    <w:rsid w:val="00AA1C98"/>
    <w:rsid w:val="00AA203F"/>
    <w:rsid w:val="00AB1157"/>
    <w:rsid w:val="00AB1DD3"/>
    <w:rsid w:val="00AB1F9A"/>
    <w:rsid w:val="00AC7046"/>
    <w:rsid w:val="00AD261D"/>
    <w:rsid w:val="00AE1998"/>
    <w:rsid w:val="00AF1F64"/>
    <w:rsid w:val="00AF2CF1"/>
    <w:rsid w:val="00B26DCC"/>
    <w:rsid w:val="00B331FC"/>
    <w:rsid w:val="00B339BC"/>
    <w:rsid w:val="00B430E8"/>
    <w:rsid w:val="00B521D5"/>
    <w:rsid w:val="00B56B5E"/>
    <w:rsid w:val="00B576E1"/>
    <w:rsid w:val="00B57DAE"/>
    <w:rsid w:val="00B73A7B"/>
    <w:rsid w:val="00B87ED0"/>
    <w:rsid w:val="00BC41C6"/>
    <w:rsid w:val="00BD57B8"/>
    <w:rsid w:val="00BE1F1A"/>
    <w:rsid w:val="00BF45D3"/>
    <w:rsid w:val="00C02E5E"/>
    <w:rsid w:val="00C0764F"/>
    <w:rsid w:val="00C227B4"/>
    <w:rsid w:val="00C22ADC"/>
    <w:rsid w:val="00C304A8"/>
    <w:rsid w:val="00C31A1D"/>
    <w:rsid w:val="00C37EDA"/>
    <w:rsid w:val="00C55697"/>
    <w:rsid w:val="00C55769"/>
    <w:rsid w:val="00C60895"/>
    <w:rsid w:val="00C60F51"/>
    <w:rsid w:val="00CB4F05"/>
    <w:rsid w:val="00CC77E5"/>
    <w:rsid w:val="00CE5B65"/>
    <w:rsid w:val="00D01DF7"/>
    <w:rsid w:val="00D14D90"/>
    <w:rsid w:val="00D26167"/>
    <w:rsid w:val="00D33BFC"/>
    <w:rsid w:val="00D3702F"/>
    <w:rsid w:val="00D40D15"/>
    <w:rsid w:val="00D40F43"/>
    <w:rsid w:val="00D41BDE"/>
    <w:rsid w:val="00D53F47"/>
    <w:rsid w:val="00D57CB4"/>
    <w:rsid w:val="00D61C69"/>
    <w:rsid w:val="00D716CE"/>
    <w:rsid w:val="00D717A9"/>
    <w:rsid w:val="00D749C3"/>
    <w:rsid w:val="00D74A9D"/>
    <w:rsid w:val="00D8387D"/>
    <w:rsid w:val="00D850F1"/>
    <w:rsid w:val="00D855A6"/>
    <w:rsid w:val="00D85C17"/>
    <w:rsid w:val="00D9183E"/>
    <w:rsid w:val="00D93A35"/>
    <w:rsid w:val="00D94DF6"/>
    <w:rsid w:val="00DA031F"/>
    <w:rsid w:val="00DA062F"/>
    <w:rsid w:val="00DA548F"/>
    <w:rsid w:val="00DA65FC"/>
    <w:rsid w:val="00DC5687"/>
    <w:rsid w:val="00DC65A3"/>
    <w:rsid w:val="00DD4604"/>
    <w:rsid w:val="00DD72E6"/>
    <w:rsid w:val="00DE36DB"/>
    <w:rsid w:val="00DE3A09"/>
    <w:rsid w:val="00DF5617"/>
    <w:rsid w:val="00E12CCD"/>
    <w:rsid w:val="00E20183"/>
    <w:rsid w:val="00E2188B"/>
    <w:rsid w:val="00E30BB3"/>
    <w:rsid w:val="00E3266E"/>
    <w:rsid w:val="00E50EC8"/>
    <w:rsid w:val="00E54043"/>
    <w:rsid w:val="00E54C82"/>
    <w:rsid w:val="00E569C4"/>
    <w:rsid w:val="00E56A78"/>
    <w:rsid w:val="00E80D89"/>
    <w:rsid w:val="00E91D8D"/>
    <w:rsid w:val="00EA03B2"/>
    <w:rsid w:val="00EB6FA2"/>
    <w:rsid w:val="00EB7149"/>
    <w:rsid w:val="00EB73C8"/>
    <w:rsid w:val="00ED54F7"/>
    <w:rsid w:val="00EE3409"/>
    <w:rsid w:val="00EE3BEE"/>
    <w:rsid w:val="00EF2FC9"/>
    <w:rsid w:val="00F0380E"/>
    <w:rsid w:val="00F151E6"/>
    <w:rsid w:val="00F15579"/>
    <w:rsid w:val="00F205C0"/>
    <w:rsid w:val="00F251EB"/>
    <w:rsid w:val="00F309AE"/>
    <w:rsid w:val="00F63F54"/>
    <w:rsid w:val="00F72407"/>
    <w:rsid w:val="00F74C9A"/>
    <w:rsid w:val="00F968B1"/>
    <w:rsid w:val="00F97CD5"/>
    <w:rsid w:val="00FA350A"/>
    <w:rsid w:val="00FD35A1"/>
    <w:rsid w:val="00FD6763"/>
    <w:rsid w:val="00FE0635"/>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 w:type="paragraph" w:styleId="BodyTextIndent">
    <w:name w:val="Body Text Indent"/>
    <w:basedOn w:val="Normal"/>
    <w:link w:val="BodyTextIndentChar"/>
    <w:rsid w:val="00EB73C8"/>
    <w:pPr>
      <w:spacing w:after="120"/>
      <w:ind w:left="360"/>
    </w:pPr>
  </w:style>
  <w:style w:type="character" w:customStyle="1" w:styleId="BodyTextIndentChar">
    <w:name w:val="Body Text Indent Char"/>
    <w:basedOn w:val="DefaultParagraphFont"/>
    <w:link w:val="BodyTextIndent"/>
    <w:rsid w:val="00EB73C8"/>
    <w:rPr>
      <w:sz w:val="24"/>
      <w:szCs w:val="24"/>
    </w:rPr>
  </w:style>
  <w:style w:type="paragraph" w:styleId="BodyTextIndent3">
    <w:name w:val="Body Text Indent 3"/>
    <w:basedOn w:val="Normal"/>
    <w:link w:val="BodyTextIndent3Char"/>
    <w:rsid w:val="00EB73C8"/>
    <w:pPr>
      <w:spacing w:after="120"/>
      <w:ind w:left="360"/>
    </w:pPr>
    <w:rPr>
      <w:sz w:val="16"/>
      <w:szCs w:val="16"/>
    </w:rPr>
  </w:style>
  <w:style w:type="character" w:customStyle="1" w:styleId="BodyTextIndent3Char">
    <w:name w:val="Body Text Indent 3 Char"/>
    <w:basedOn w:val="DefaultParagraphFont"/>
    <w:link w:val="BodyTextIndent3"/>
    <w:rsid w:val="00EB73C8"/>
    <w:rPr>
      <w:sz w:val="16"/>
      <w:szCs w:val="16"/>
    </w:rPr>
  </w:style>
  <w:style w:type="paragraph" w:styleId="BodyTextIndent2">
    <w:name w:val="Body Text Indent 2"/>
    <w:basedOn w:val="Normal"/>
    <w:link w:val="BodyTextIndent2Char"/>
    <w:rsid w:val="00EB73C8"/>
    <w:pPr>
      <w:spacing w:after="120" w:line="480" w:lineRule="auto"/>
      <w:ind w:left="360"/>
    </w:pPr>
  </w:style>
  <w:style w:type="character" w:customStyle="1" w:styleId="BodyTextIndent2Char">
    <w:name w:val="Body Text Indent 2 Char"/>
    <w:basedOn w:val="DefaultParagraphFont"/>
    <w:link w:val="BodyTextIndent2"/>
    <w:rsid w:val="00EB73C8"/>
    <w:rPr>
      <w:sz w:val="24"/>
      <w:szCs w:val="24"/>
    </w:rPr>
  </w:style>
  <w:style w:type="character" w:customStyle="1" w:styleId="FooterChar">
    <w:name w:val="Footer Char"/>
    <w:basedOn w:val="DefaultParagraphFont"/>
    <w:link w:val="Footer"/>
    <w:uiPriority w:val="99"/>
    <w:rsid w:val="00426A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character" w:styleId="CommentReference">
    <w:name w:val="annotation reference"/>
    <w:basedOn w:val="DefaultParagraphFont"/>
    <w:rsid w:val="004F2948"/>
    <w:rPr>
      <w:sz w:val="16"/>
      <w:szCs w:val="16"/>
    </w:rPr>
  </w:style>
  <w:style w:type="paragraph" w:styleId="CommentText">
    <w:name w:val="annotation text"/>
    <w:basedOn w:val="Normal"/>
    <w:link w:val="CommentTextChar"/>
    <w:rsid w:val="004F2948"/>
    <w:rPr>
      <w:sz w:val="20"/>
      <w:szCs w:val="20"/>
    </w:rPr>
  </w:style>
  <w:style w:type="character" w:customStyle="1" w:styleId="CommentTextChar">
    <w:name w:val="Comment Text Char"/>
    <w:basedOn w:val="DefaultParagraphFont"/>
    <w:link w:val="CommentText"/>
    <w:rsid w:val="004F2948"/>
  </w:style>
  <w:style w:type="paragraph" w:styleId="CommentSubject">
    <w:name w:val="annotation subject"/>
    <w:basedOn w:val="CommentText"/>
    <w:next w:val="CommentText"/>
    <w:link w:val="CommentSubjectChar"/>
    <w:rsid w:val="004F2948"/>
    <w:rPr>
      <w:b/>
      <w:bCs/>
    </w:rPr>
  </w:style>
  <w:style w:type="character" w:customStyle="1" w:styleId="CommentSubjectChar">
    <w:name w:val="Comment Subject Char"/>
    <w:basedOn w:val="CommentTextChar"/>
    <w:link w:val="CommentSubject"/>
    <w:rsid w:val="004F2948"/>
    <w:rPr>
      <w:b/>
      <w:bCs/>
    </w:rPr>
  </w:style>
  <w:style w:type="paragraph" w:styleId="BodyTextIndent">
    <w:name w:val="Body Text Indent"/>
    <w:basedOn w:val="Normal"/>
    <w:link w:val="BodyTextIndentChar"/>
    <w:rsid w:val="00EB73C8"/>
    <w:pPr>
      <w:spacing w:after="120"/>
      <w:ind w:left="360"/>
    </w:pPr>
  </w:style>
  <w:style w:type="character" w:customStyle="1" w:styleId="BodyTextIndentChar">
    <w:name w:val="Body Text Indent Char"/>
    <w:basedOn w:val="DefaultParagraphFont"/>
    <w:link w:val="BodyTextIndent"/>
    <w:rsid w:val="00EB73C8"/>
    <w:rPr>
      <w:sz w:val="24"/>
      <w:szCs w:val="24"/>
    </w:rPr>
  </w:style>
  <w:style w:type="paragraph" w:styleId="BodyTextIndent3">
    <w:name w:val="Body Text Indent 3"/>
    <w:basedOn w:val="Normal"/>
    <w:link w:val="BodyTextIndent3Char"/>
    <w:rsid w:val="00EB73C8"/>
    <w:pPr>
      <w:spacing w:after="120"/>
      <w:ind w:left="360"/>
    </w:pPr>
    <w:rPr>
      <w:sz w:val="16"/>
      <w:szCs w:val="16"/>
    </w:rPr>
  </w:style>
  <w:style w:type="character" w:customStyle="1" w:styleId="BodyTextIndent3Char">
    <w:name w:val="Body Text Indent 3 Char"/>
    <w:basedOn w:val="DefaultParagraphFont"/>
    <w:link w:val="BodyTextIndent3"/>
    <w:rsid w:val="00EB73C8"/>
    <w:rPr>
      <w:sz w:val="16"/>
      <w:szCs w:val="16"/>
    </w:rPr>
  </w:style>
  <w:style w:type="paragraph" w:styleId="BodyTextIndent2">
    <w:name w:val="Body Text Indent 2"/>
    <w:basedOn w:val="Normal"/>
    <w:link w:val="BodyTextIndent2Char"/>
    <w:rsid w:val="00EB73C8"/>
    <w:pPr>
      <w:spacing w:after="120" w:line="480" w:lineRule="auto"/>
      <w:ind w:left="360"/>
    </w:pPr>
  </w:style>
  <w:style w:type="character" w:customStyle="1" w:styleId="BodyTextIndent2Char">
    <w:name w:val="Body Text Indent 2 Char"/>
    <w:basedOn w:val="DefaultParagraphFont"/>
    <w:link w:val="BodyTextIndent2"/>
    <w:rsid w:val="00EB73C8"/>
    <w:rPr>
      <w:sz w:val="24"/>
      <w:szCs w:val="24"/>
    </w:rPr>
  </w:style>
  <w:style w:type="character" w:customStyle="1" w:styleId="FooterChar">
    <w:name w:val="Footer Char"/>
    <w:basedOn w:val="DefaultParagraphFont"/>
    <w:link w:val="Footer"/>
    <w:uiPriority w:val="99"/>
    <w:rsid w:val="00426A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24676586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468321421">
      <w:bodyDiv w:val="1"/>
      <w:marLeft w:val="0"/>
      <w:marRight w:val="0"/>
      <w:marTop w:val="0"/>
      <w:marBottom w:val="0"/>
      <w:divBdr>
        <w:top w:val="none" w:sz="0" w:space="0" w:color="auto"/>
        <w:left w:val="none" w:sz="0" w:space="0" w:color="auto"/>
        <w:bottom w:val="none" w:sz="0" w:space="0" w:color="auto"/>
        <w:right w:val="none" w:sz="0" w:space="0" w:color="auto"/>
      </w:divBdr>
    </w:div>
    <w:div w:id="52810784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949821428">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en.ours@dc.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D660-5EC3-41F2-A5F6-3F805CD4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0</TotalTime>
  <Pages>5</Pages>
  <Words>1544</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9832</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S. Ours</cp:lastModifiedBy>
  <cp:revision>2</cp:revision>
  <cp:lastPrinted>2014-10-24T14:52:00Z</cp:lastPrinted>
  <dcterms:created xsi:type="dcterms:W3CDTF">2018-05-18T14:11:00Z</dcterms:created>
  <dcterms:modified xsi:type="dcterms:W3CDTF">2018-05-18T14:11:00Z</dcterms:modified>
</cp:coreProperties>
</file>