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BC593B" w:rsidP="00564065">
      <w:r>
        <w:t>July 9</w:t>
      </w:r>
      <w:r w:rsidR="00CD3BD5">
        <w:t>, 201</w:t>
      </w:r>
      <w:r w:rsidR="00611164">
        <w:t>9</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861A4B" w:rsidRPr="004924D9" w:rsidRDefault="00861A4B" w:rsidP="00861A4B">
      <w:pPr>
        <w:jc w:val="both"/>
      </w:pPr>
      <w:r w:rsidRPr="004924D9">
        <w:t>Ms. Alicia Knight, Senior Associate Vice President</w:t>
      </w:r>
      <w:r w:rsidR="00BC593B">
        <w:t xml:space="preserve"> for Operations</w:t>
      </w:r>
    </w:p>
    <w:p w:rsidR="00861A4B" w:rsidRPr="004924D9" w:rsidRDefault="00861A4B" w:rsidP="00861A4B">
      <w:r w:rsidRPr="004924D9">
        <w:t>The George Washington University</w:t>
      </w:r>
    </w:p>
    <w:p w:rsidR="00861A4B" w:rsidRPr="004924D9" w:rsidRDefault="00861A4B" w:rsidP="00861A4B">
      <w:r w:rsidRPr="004924D9">
        <w:t>2025 F Street NW</w:t>
      </w:r>
      <w:r w:rsidR="00BC593B">
        <w:t>, Suite 200</w:t>
      </w:r>
    </w:p>
    <w:p w:rsidR="00861A4B" w:rsidRPr="004924D9" w:rsidRDefault="00861A4B" w:rsidP="00861A4B">
      <w:r w:rsidRPr="004924D9">
        <w:t>Washington, DC 20052</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sidR="00344BB1">
        <w:rPr>
          <w:b/>
        </w:rPr>
        <w:t>6790</w:t>
      </w:r>
      <w:r w:rsidR="005622AA">
        <w:rPr>
          <w:b/>
        </w:rPr>
        <w:t>-R</w:t>
      </w:r>
      <w:r w:rsidR="00344BB1">
        <w:rPr>
          <w:b/>
        </w:rPr>
        <w:t>1</w:t>
      </w:r>
      <w:r w:rsidR="005622AA">
        <w:rPr>
          <w:b/>
        </w:rPr>
        <w:t xml:space="preserve"> </w:t>
      </w:r>
      <w:r w:rsidR="00344BB1">
        <w:rPr>
          <w:b/>
        </w:rPr>
        <w:t>and</w:t>
      </w:r>
      <w:r w:rsidR="005622AA">
        <w:rPr>
          <w:b/>
        </w:rPr>
        <w:t xml:space="preserve"> </w:t>
      </w:r>
      <w:r w:rsidR="00344BB1">
        <w:rPr>
          <w:b/>
        </w:rPr>
        <w:t>6791</w:t>
      </w:r>
      <w:r w:rsidR="005622AA">
        <w:rPr>
          <w:b/>
        </w:rPr>
        <w:t>-R</w:t>
      </w:r>
      <w:r w:rsidR="00344BB1">
        <w:rPr>
          <w:b/>
        </w:rPr>
        <w:t>1</w:t>
      </w:r>
      <w:r w:rsidR="00004746">
        <w:rPr>
          <w:b/>
          <w:bCs/>
        </w:rPr>
        <w:t xml:space="preserve"> to </w:t>
      </w:r>
      <w:r w:rsidRPr="00D72CC2">
        <w:rPr>
          <w:b/>
          <w:bCs/>
        </w:rPr>
        <w:t xml:space="preserve">Operate </w:t>
      </w:r>
      <w:r w:rsidR="00860ECE">
        <w:rPr>
          <w:b/>
          <w:bCs/>
        </w:rPr>
        <w:t>T</w:t>
      </w:r>
      <w:r w:rsidR="00FA369F">
        <w:rPr>
          <w:b/>
          <w:bCs/>
        </w:rPr>
        <w:t>wo</w:t>
      </w:r>
      <w:r w:rsidR="00A53495">
        <w:rPr>
          <w:b/>
          <w:bCs/>
        </w:rPr>
        <w:t xml:space="preserve"> </w:t>
      </w:r>
      <w:r w:rsidR="005F5962">
        <w:rPr>
          <w:b/>
          <w:bCs/>
        </w:rPr>
        <w:t>Dual Fuel</w:t>
      </w:r>
      <w:r w:rsidR="00BC593B">
        <w:rPr>
          <w:b/>
          <w:bCs/>
        </w:rPr>
        <w:t>-</w:t>
      </w:r>
      <w:r w:rsidR="005F5962">
        <w:rPr>
          <w:b/>
          <w:bCs/>
        </w:rPr>
        <w:t xml:space="preserve">Fired </w:t>
      </w:r>
      <w:r w:rsidRPr="00D72CC2">
        <w:rPr>
          <w:b/>
          <w:bCs/>
        </w:rPr>
        <w:t>Boiler</w:t>
      </w:r>
      <w:r w:rsidR="00460225">
        <w:rPr>
          <w:b/>
          <w:bCs/>
        </w:rPr>
        <w:t>s</w:t>
      </w:r>
      <w:r>
        <w:rPr>
          <w:b/>
          <w:bCs/>
        </w:rPr>
        <w:t xml:space="preserve"> </w:t>
      </w:r>
      <w:r w:rsidR="00901812">
        <w:rPr>
          <w:b/>
          <w:bCs/>
        </w:rPr>
        <w:t xml:space="preserve">at </w:t>
      </w:r>
      <w:r w:rsidR="00BC593B">
        <w:rPr>
          <w:b/>
          <w:bCs/>
        </w:rPr>
        <w:t>The George Washington University</w:t>
      </w:r>
      <w:r w:rsidR="00BC593B">
        <w:rPr>
          <w:b/>
          <w:bCs/>
        </w:rPr>
        <w:t xml:space="preserve">, </w:t>
      </w:r>
      <w:proofErr w:type="spellStart"/>
      <w:r w:rsidR="00BC593B">
        <w:rPr>
          <w:b/>
          <w:bCs/>
        </w:rPr>
        <w:t>Lisner</w:t>
      </w:r>
      <w:proofErr w:type="spellEnd"/>
      <w:r w:rsidR="00BC593B">
        <w:rPr>
          <w:b/>
          <w:bCs/>
        </w:rPr>
        <w:t xml:space="preserve"> Hall</w:t>
      </w:r>
      <w:r w:rsidR="005622AA">
        <w:rPr>
          <w:b/>
          <w:bCs/>
        </w:rPr>
        <w:t xml:space="preserve">, </w:t>
      </w:r>
      <w:r w:rsidR="00FA369F">
        <w:rPr>
          <w:b/>
          <w:bCs/>
        </w:rPr>
        <w:t xml:space="preserve">2023 G Street </w:t>
      </w:r>
      <w:r w:rsidR="00A53495">
        <w:rPr>
          <w:b/>
          <w:bCs/>
        </w:rPr>
        <w:t>NW</w:t>
      </w:r>
      <w:r w:rsidR="00A36A6B">
        <w:rPr>
          <w:b/>
          <w:bCs/>
        </w:rPr>
        <w:t>,</w:t>
      </w:r>
      <w:r w:rsidR="00AC1D0B">
        <w:rPr>
          <w:b/>
          <w:bCs/>
        </w:rPr>
        <w:t xml:space="preserve"> Washington</w:t>
      </w:r>
      <w:r w:rsidR="00BC593B">
        <w:rPr>
          <w:b/>
          <w:bCs/>
        </w:rPr>
        <w:t xml:space="preserve"> </w:t>
      </w:r>
      <w:r w:rsidR="00AC1D0B">
        <w:rPr>
          <w:b/>
          <w:bCs/>
        </w:rPr>
        <w:t xml:space="preserve">DC </w:t>
      </w:r>
    </w:p>
    <w:p w:rsidR="00564065" w:rsidRPr="006243B7" w:rsidRDefault="00564065" w:rsidP="00564065"/>
    <w:p w:rsidR="00564065" w:rsidRPr="006243B7" w:rsidRDefault="00564065" w:rsidP="00564065">
      <w:r w:rsidRPr="006243B7">
        <w:t xml:space="preserve">Dear </w:t>
      </w:r>
      <w:r w:rsidR="00FA369F">
        <w:t>Ms. Knight</w:t>
      </w:r>
      <w:r w:rsidRPr="006243B7">
        <w:t>:</w:t>
      </w:r>
    </w:p>
    <w:p w:rsidR="00564065" w:rsidRPr="006243B7" w:rsidRDefault="00564065" w:rsidP="00564065">
      <w:pPr>
        <w:rPr>
          <w:rFonts w:ascii="Courier" w:hAnsi="Courier"/>
        </w:rPr>
      </w:pPr>
    </w:p>
    <w:p w:rsidR="00FA369F" w:rsidRDefault="00564065" w:rsidP="00FA369F">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BC593B">
        <w:t>T</w:t>
      </w:r>
      <w:r w:rsidR="00FA369F">
        <w:t>he George Washington University</w:t>
      </w:r>
      <w:r w:rsidR="00AC1D0B">
        <w:t xml:space="preserve"> (</w:t>
      </w:r>
      <w:r w:rsidR="00024F87">
        <w:t>“</w:t>
      </w:r>
      <w:r w:rsidR="00AC1D0B">
        <w:t>the Permittee</w:t>
      </w:r>
      <w:r w:rsidR="00024F87">
        <w:t>”</w:t>
      </w:r>
      <w:r w:rsidR="00AC1D0B">
        <w:t xml:space="preserve">) to operate </w:t>
      </w:r>
      <w:r w:rsidR="00FA369F">
        <w:t>the two listed 7</w:t>
      </w:r>
      <w:r w:rsidR="00BC593B">
        <w:t>.0</w:t>
      </w:r>
      <w:r w:rsidR="00FA369F">
        <w:t xml:space="preserve"> MMBTU/</w:t>
      </w:r>
      <w:proofErr w:type="spellStart"/>
      <w:r w:rsidR="00FA369F">
        <w:t>hr</w:t>
      </w:r>
      <w:proofErr w:type="spellEnd"/>
      <w:r w:rsidR="00FA369F">
        <w:t xml:space="preserve"> dual</w:t>
      </w:r>
      <w:r w:rsidR="00BC593B">
        <w:t xml:space="preserve"> </w:t>
      </w:r>
      <w:r w:rsidR="00FA369F">
        <w:t>fuel</w:t>
      </w:r>
      <w:r w:rsidR="00BC593B">
        <w:t>-fir</w:t>
      </w:r>
      <w:r w:rsidR="00FA369F">
        <w:t xml:space="preserve">ed boilers (natural gas and No. 2 fuel oil) located at George Washington University’s </w:t>
      </w:r>
      <w:proofErr w:type="spellStart"/>
      <w:r w:rsidR="00FA369F">
        <w:t>Lisner</w:t>
      </w:r>
      <w:proofErr w:type="spellEnd"/>
      <w:r w:rsidR="00FA369F">
        <w:t xml:space="preserve"> Hall in Washington, DC, have been reviewed:</w:t>
      </w:r>
    </w:p>
    <w:p w:rsidR="00883E7D" w:rsidRDefault="00883E7D" w:rsidP="00564065">
      <w:pPr>
        <w:jc w:val="both"/>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70"/>
        <w:gridCol w:w="1620"/>
        <w:gridCol w:w="1890"/>
        <w:gridCol w:w="1170"/>
        <w:gridCol w:w="1260"/>
      </w:tblGrid>
      <w:tr w:rsidR="00F34A64" w:rsidRPr="000B74A6" w:rsidTr="00454253">
        <w:tc>
          <w:tcPr>
            <w:tcW w:w="1440" w:type="dxa"/>
          </w:tcPr>
          <w:p w:rsidR="00F34A64" w:rsidRPr="000B74A6" w:rsidRDefault="00F34A64" w:rsidP="00E74D4B">
            <w:pPr>
              <w:jc w:val="both"/>
              <w:rPr>
                <w:b/>
                <w:szCs w:val="18"/>
              </w:rPr>
            </w:pPr>
            <w:r w:rsidRPr="000B74A6">
              <w:rPr>
                <w:b/>
                <w:szCs w:val="18"/>
              </w:rPr>
              <w:t xml:space="preserve">Equipment Location  </w:t>
            </w:r>
          </w:p>
        </w:tc>
        <w:tc>
          <w:tcPr>
            <w:tcW w:w="2070" w:type="dxa"/>
          </w:tcPr>
          <w:p w:rsidR="00F34A64" w:rsidRPr="000B74A6" w:rsidRDefault="00F34A64" w:rsidP="00E74D4B">
            <w:pPr>
              <w:jc w:val="both"/>
              <w:rPr>
                <w:b/>
                <w:szCs w:val="18"/>
              </w:rPr>
            </w:pPr>
            <w:r w:rsidRPr="000B74A6">
              <w:rPr>
                <w:b/>
                <w:szCs w:val="18"/>
              </w:rPr>
              <w:t>Address</w:t>
            </w:r>
          </w:p>
        </w:tc>
        <w:tc>
          <w:tcPr>
            <w:tcW w:w="1620" w:type="dxa"/>
          </w:tcPr>
          <w:p w:rsidR="00F34A64" w:rsidRPr="000B74A6" w:rsidRDefault="00F34A64" w:rsidP="00E74D4B">
            <w:pPr>
              <w:rPr>
                <w:b/>
                <w:szCs w:val="18"/>
              </w:rPr>
            </w:pPr>
            <w:r w:rsidRPr="000B74A6">
              <w:rPr>
                <w:b/>
                <w:szCs w:val="18"/>
              </w:rPr>
              <w:t xml:space="preserve">Equipment Size  </w:t>
            </w:r>
            <w:r>
              <w:rPr>
                <w:b/>
                <w:szCs w:val="18"/>
              </w:rPr>
              <w:t xml:space="preserve"> </w:t>
            </w:r>
            <w:r w:rsidRPr="000B74A6">
              <w:rPr>
                <w:b/>
                <w:szCs w:val="18"/>
              </w:rPr>
              <w:t xml:space="preserve"> </w:t>
            </w:r>
            <w:r>
              <w:rPr>
                <w:b/>
                <w:szCs w:val="18"/>
              </w:rPr>
              <w:t>(MMBTU</w:t>
            </w:r>
            <w:r w:rsidRPr="000B74A6">
              <w:rPr>
                <w:b/>
                <w:szCs w:val="18"/>
              </w:rPr>
              <w:t>/</w:t>
            </w:r>
            <w:proofErr w:type="spellStart"/>
            <w:r w:rsidRPr="000B74A6">
              <w:rPr>
                <w:b/>
                <w:szCs w:val="18"/>
              </w:rPr>
              <w:t>hr</w:t>
            </w:r>
            <w:proofErr w:type="spellEnd"/>
            <w:r>
              <w:rPr>
                <w:b/>
                <w:szCs w:val="18"/>
              </w:rPr>
              <w:t xml:space="preserve"> heat</w:t>
            </w:r>
            <w:r w:rsidRPr="000B74A6">
              <w:rPr>
                <w:b/>
                <w:szCs w:val="18"/>
              </w:rPr>
              <w:t xml:space="preserve"> </w:t>
            </w:r>
            <w:r>
              <w:rPr>
                <w:b/>
                <w:szCs w:val="18"/>
              </w:rPr>
              <w:t>i</w:t>
            </w:r>
            <w:r w:rsidRPr="000B74A6">
              <w:rPr>
                <w:b/>
                <w:szCs w:val="18"/>
              </w:rPr>
              <w:t>nput)</w:t>
            </w:r>
          </w:p>
        </w:tc>
        <w:tc>
          <w:tcPr>
            <w:tcW w:w="1890" w:type="dxa"/>
          </w:tcPr>
          <w:p w:rsidR="00F34A64" w:rsidRPr="000B74A6" w:rsidRDefault="00F34A64" w:rsidP="00E74D4B">
            <w:pPr>
              <w:jc w:val="both"/>
              <w:rPr>
                <w:b/>
                <w:szCs w:val="18"/>
              </w:rPr>
            </w:pPr>
            <w:r w:rsidRPr="000B74A6">
              <w:rPr>
                <w:b/>
                <w:szCs w:val="18"/>
              </w:rPr>
              <w:t>Model</w:t>
            </w:r>
            <w:r>
              <w:rPr>
                <w:b/>
                <w:szCs w:val="18"/>
              </w:rPr>
              <w:t>/Serial Number</w:t>
            </w:r>
          </w:p>
        </w:tc>
        <w:tc>
          <w:tcPr>
            <w:tcW w:w="1170" w:type="dxa"/>
          </w:tcPr>
          <w:p w:rsidR="00F34A64" w:rsidRPr="000B74A6" w:rsidRDefault="00F34A64" w:rsidP="00E74D4B">
            <w:pPr>
              <w:jc w:val="both"/>
              <w:rPr>
                <w:b/>
                <w:szCs w:val="18"/>
              </w:rPr>
            </w:pPr>
            <w:r>
              <w:rPr>
                <w:b/>
                <w:szCs w:val="18"/>
              </w:rPr>
              <w:t>Emission Unit No.</w:t>
            </w:r>
          </w:p>
        </w:tc>
        <w:tc>
          <w:tcPr>
            <w:tcW w:w="1260" w:type="dxa"/>
          </w:tcPr>
          <w:p w:rsidR="00F34A64" w:rsidRPr="000B74A6" w:rsidRDefault="00F34A64" w:rsidP="00E74D4B">
            <w:pPr>
              <w:jc w:val="both"/>
              <w:rPr>
                <w:b/>
                <w:szCs w:val="18"/>
              </w:rPr>
            </w:pPr>
            <w:r w:rsidRPr="000B74A6">
              <w:rPr>
                <w:b/>
                <w:szCs w:val="18"/>
              </w:rPr>
              <w:t>Permit No.</w:t>
            </w:r>
          </w:p>
        </w:tc>
      </w:tr>
      <w:tr w:rsidR="00F34A64" w:rsidRPr="000B74A6" w:rsidTr="00454253">
        <w:tc>
          <w:tcPr>
            <w:tcW w:w="1440" w:type="dxa"/>
          </w:tcPr>
          <w:p w:rsidR="00F34A64" w:rsidRPr="000B74A6" w:rsidRDefault="00F34A64" w:rsidP="00E74D4B">
            <w:pPr>
              <w:tabs>
                <w:tab w:val="left" w:pos="735"/>
              </w:tabs>
              <w:rPr>
                <w:szCs w:val="18"/>
              </w:rPr>
            </w:pPr>
            <w:proofErr w:type="spellStart"/>
            <w:r>
              <w:rPr>
                <w:szCs w:val="18"/>
              </w:rPr>
              <w:t>Lisner</w:t>
            </w:r>
            <w:proofErr w:type="spellEnd"/>
            <w:r>
              <w:rPr>
                <w:szCs w:val="18"/>
              </w:rPr>
              <w:t xml:space="preserve"> Hall</w:t>
            </w:r>
          </w:p>
        </w:tc>
        <w:tc>
          <w:tcPr>
            <w:tcW w:w="2070" w:type="dxa"/>
          </w:tcPr>
          <w:p w:rsidR="00F34A64" w:rsidRPr="000B74A6" w:rsidRDefault="00F34A64" w:rsidP="00BC593B">
            <w:pPr>
              <w:rPr>
                <w:szCs w:val="18"/>
              </w:rPr>
            </w:pPr>
            <w:r>
              <w:rPr>
                <w:szCs w:val="18"/>
              </w:rPr>
              <w:t>2023 G Street N</w:t>
            </w:r>
            <w:r w:rsidRPr="000B74A6">
              <w:rPr>
                <w:szCs w:val="18"/>
              </w:rPr>
              <w:t>W Washington</w:t>
            </w:r>
            <w:r>
              <w:rPr>
                <w:szCs w:val="18"/>
              </w:rPr>
              <w:t xml:space="preserve"> DC</w:t>
            </w:r>
          </w:p>
        </w:tc>
        <w:tc>
          <w:tcPr>
            <w:tcW w:w="1620" w:type="dxa"/>
          </w:tcPr>
          <w:p w:rsidR="00F34A64" w:rsidRPr="000B74A6" w:rsidRDefault="00F34A64" w:rsidP="00BC593B">
            <w:pPr>
              <w:jc w:val="center"/>
            </w:pPr>
            <w:r>
              <w:rPr>
                <w:szCs w:val="18"/>
              </w:rPr>
              <w:t>7.0</w:t>
            </w:r>
          </w:p>
        </w:tc>
        <w:tc>
          <w:tcPr>
            <w:tcW w:w="1890" w:type="dxa"/>
          </w:tcPr>
          <w:p w:rsidR="00F34A64" w:rsidRPr="000B74A6" w:rsidRDefault="00F34A64" w:rsidP="00E74D4B">
            <w:pPr>
              <w:jc w:val="both"/>
              <w:rPr>
                <w:szCs w:val="18"/>
              </w:rPr>
            </w:pPr>
            <w:r>
              <w:rPr>
                <w:szCs w:val="18"/>
              </w:rPr>
              <w:t>FLX-200-700-15ST/08860-1-1</w:t>
            </w:r>
          </w:p>
        </w:tc>
        <w:tc>
          <w:tcPr>
            <w:tcW w:w="1170" w:type="dxa"/>
          </w:tcPr>
          <w:p w:rsidR="00F34A64" w:rsidRPr="000B74A6" w:rsidRDefault="00F34A64" w:rsidP="00E74D4B">
            <w:pPr>
              <w:rPr>
                <w:szCs w:val="18"/>
              </w:rPr>
            </w:pPr>
            <w:r>
              <w:rPr>
                <w:szCs w:val="18"/>
              </w:rPr>
              <w:t>EUN-321</w:t>
            </w:r>
          </w:p>
        </w:tc>
        <w:tc>
          <w:tcPr>
            <w:tcW w:w="1260" w:type="dxa"/>
          </w:tcPr>
          <w:p w:rsidR="00F34A64" w:rsidRPr="000B74A6" w:rsidRDefault="00F34A64" w:rsidP="00E74D4B">
            <w:r w:rsidRPr="000B74A6">
              <w:rPr>
                <w:szCs w:val="18"/>
              </w:rPr>
              <w:t>6</w:t>
            </w:r>
            <w:r>
              <w:rPr>
                <w:szCs w:val="18"/>
              </w:rPr>
              <w:t>790</w:t>
            </w:r>
            <w:r w:rsidR="00454253">
              <w:rPr>
                <w:szCs w:val="18"/>
              </w:rPr>
              <w:t>-R1</w:t>
            </w:r>
          </w:p>
        </w:tc>
      </w:tr>
      <w:tr w:rsidR="00F34A64" w:rsidRPr="000B74A6" w:rsidTr="00454253">
        <w:tc>
          <w:tcPr>
            <w:tcW w:w="1440" w:type="dxa"/>
          </w:tcPr>
          <w:p w:rsidR="00F34A64" w:rsidRPr="000B74A6" w:rsidRDefault="00F34A64" w:rsidP="00E74D4B">
            <w:pPr>
              <w:tabs>
                <w:tab w:val="left" w:pos="735"/>
              </w:tabs>
              <w:rPr>
                <w:szCs w:val="18"/>
              </w:rPr>
            </w:pPr>
            <w:proofErr w:type="spellStart"/>
            <w:r>
              <w:rPr>
                <w:szCs w:val="18"/>
              </w:rPr>
              <w:t>Lisner</w:t>
            </w:r>
            <w:proofErr w:type="spellEnd"/>
            <w:r>
              <w:rPr>
                <w:szCs w:val="18"/>
              </w:rPr>
              <w:t xml:space="preserve"> Hall</w:t>
            </w:r>
          </w:p>
        </w:tc>
        <w:tc>
          <w:tcPr>
            <w:tcW w:w="2070" w:type="dxa"/>
          </w:tcPr>
          <w:p w:rsidR="00F34A64" w:rsidRPr="000B74A6" w:rsidRDefault="00F34A64" w:rsidP="00E74D4B">
            <w:pPr>
              <w:rPr>
                <w:szCs w:val="18"/>
              </w:rPr>
            </w:pPr>
            <w:r>
              <w:rPr>
                <w:szCs w:val="18"/>
              </w:rPr>
              <w:t>2023 G Street, N</w:t>
            </w:r>
            <w:r w:rsidRPr="000B74A6">
              <w:rPr>
                <w:szCs w:val="18"/>
              </w:rPr>
              <w:t>W Washington</w:t>
            </w:r>
            <w:r>
              <w:rPr>
                <w:szCs w:val="18"/>
              </w:rPr>
              <w:t xml:space="preserve"> DC</w:t>
            </w:r>
          </w:p>
        </w:tc>
        <w:tc>
          <w:tcPr>
            <w:tcW w:w="1620" w:type="dxa"/>
          </w:tcPr>
          <w:p w:rsidR="00F34A64" w:rsidRPr="000B74A6" w:rsidRDefault="00F34A64" w:rsidP="00BC593B">
            <w:pPr>
              <w:jc w:val="center"/>
            </w:pPr>
            <w:r>
              <w:rPr>
                <w:szCs w:val="18"/>
              </w:rPr>
              <w:t>7.0</w:t>
            </w:r>
          </w:p>
        </w:tc>
        <w:tc>
          <w:tcPr>
            <w:tcW w:w="1890" w:type="dxa"/>
          </w:tcPr>
          <w:p w:rsidR="00F34A64" w:rsidRPr="000B74A6" w:rsidRDefault="00F34A64" w:rsidP="00E74D4B">
            <w:pPr>
              <w:jc w:val="both"/>
              <w:rPr>
                <w:szCs w:val="18"/>
              </w:rPr>
            </w:pPr>
            <w:r>
              <w:rPr>
                <w:szCs w:val="18"/>
              </w:rPr>
              <w:t>FLX-200-700-15ST/08860-1-2</w:t>
            </w:r>
          </w:p>
        </w:tc>
        <w:tc>
          <w:tcPr>
            <w:tcW w:w="1170" w:type="dxa"/>
          </w:tcPr>
          <w:p w:rsidR="00F34A64" w:rsidRPr="000B74A6" w:rsidRDefault="00F34A64" w:rsidP="00E74D4B">
            <w:pPr>
              <w:rPr>
                <w:szCs w:val="18"/>
              </w:rPr>
            </w:pPr>
            <w:r>
              <w:rPr>
                <w:szCs w:val="18"/>
              </w:rPr>
              <w:t>EUN-322</w:t>
            </w:r>
          </w:p>
        </w:tc>
        <w:tc>
          <w:tcPr>
            <w:tcW w:w="1260" w:type="dxa"/>
          </w:tcPr>
          <w:p w:rsidR="00F34A64" w:rsidRPr="000B74A6" w:rsidRDefault="00F34A64" w:rsidP="00E74D4B">
            <w:r w:rsidRPr="000B74A6">
              <w:rPr>
                <w:szCs w:val="18"/>
              </w:rPr>
              <w:t>6</w:t>
            </w:r>
            <w:r>
              <w:rPr>
                <w:szCs w:val="18"/>
              </w:rPr>
              <w:t>791</w:t>
            </w:r>
            <w:r w:rsidR="00454253">
              <w:rPr>
                <w:szCs w:val="18"/>
              </w:rPr>
              <w:t>-R1</w:t>
            </w:r>
          </w:p>
        </w:tc>
      </w:tr>
    </w:tbl>
    <w:p w:rsidR="00F34A64" w:rsidRDefault="00F34A64" w:rsidP="00564065">
      <w:pPr>
        <w:jc w:val="both"/>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2C6A5D">
        <w:t>October 30, 2019</w:t>
      </w:r>
      <w:r w:rsidR="00D04603">
        <w:t xml:space="preserve"> and </w:t>
      </w:r>
      <w:r w:rsidR="002C7614">
        <w:t xml:space="preserve">dated </w:t>
      </w:r>
      <w:r w:rsidR="00BC593B">
        <w:t>October 25</w:t>
      </w:r>
      <w:r w:rsidR="002C7614">
        <w:t>, 2018,</w:t>
      </w:r>
      <w:r w:rsidR="00D04603">
        <w:t xml:space="preserve"> the </w:t>
      </w:r>
      <w:r>
        <w:t>application</w:t>
      </w:r>
      <w:r w:rsidR="00C755AB">
        <w:t>s</w:t>
      </w:r>
      <w:r>
        <w:t xml:space="preserve"> </w:t>
      </w:r>
      <w:r w:rsidR="00C755AB">
        <w:t>are</w:t>
      </w:r>
      <w:r>
        <w:t xml:space="preserve"> hereby approved, </w:t>
      </w:r>
      <w:r w:rsidR="00DC389C">
        <w:t>and the operation of the boilers</w:t>
      </w:r>
      <w:r>
        <w:t xml:space="preserve"> </w:t>
      </w:r>
      <w:r w:rsidR="00DC389C">
        <w:t xml:space="preserve">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operation of</w:t>
      </w:r>
      <w:r w:rsidR="00564065">
        <w:t xml:space="preserve"> the</w:t>
      </w:r>
      <w:r w:rsidR="00564065" w:rsidRPr="006A4B1F">
        <w:t xml:space="preserve"> </w:t>
      </w:r>
      <w:r w:rsidR="00FC288E">
        <w:t xml:space="preserve">heating </w:t>
      </w:r>
      <w:r w:rsidR="00564065" w:rsidRPr="006A4B1F">
        <w:t>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w:t>
      </w:r>
      <w:r w:rsidR="00611164">
        <w:t xml:space="preserve"> </w:t>
      </w:r>
      <w:r w:rsidR="00BC593B">
        <w:t>July 8</w:t>
      </w:r>
      <w:r>
        <w:t>, 202</w:t>
      </w:r>
      <w:r w:rsidR="00611164">
        <w:t>4</w:t>
      </w:r>
      <w:r w:rsidRPr="006243B7">
        <w:t xml:space="preserve">. 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BC593B">
        <w:t>April 8</w:t>
      </w:r>
      <w:r w:rsidR="00136B8D">
        <w:t>, 202</w:t>
      </w:r>
      <w:r w:rsidR="00750226">
        <w:t>4</w:t>
      </w:r>
      <w:r>
        <w:t xml:space="preserve">. </w:t>
      </w:r>
      <w:r w:rsidRPr="006A4B1F">
        <w:t>[20 DCMR 200.4]</w:t>
      </w:r>
    </w:p>
    <w:p w:rsidR="00564065" w:rsidRDefault="00564065" w:rsidP="00564065">
      <w:pPr>
        <w:ind w:left="720" w:hanging="360"/>
      </w:pPr>
    </w:p>
    <w:p w:rsidR="00564065" w:rsidRDefault="00211F9E" w:rsidP="00B02A6F">
      <w:pPr>
        <w:pStyle w:val="ListParagraph"/>
        <w:numPr>
          <w:ilvl w:val="0"/>
          <w:numId w:val="1"/>
        </w:numPr>
      </w:pPr>
      <w:r>
        <w:t>O</w:t>
      </w:r>
      <w:r w:rsidR="00564065">
        <w:t xml:space="preserve">peration of equipment under the authority of this </w:t>
      </w:r>
      <w:r w:rsidR="007B18E8">
        <w:t xml:space="preserve">set of </w:t>
      </w:r>
      <w:r w:rsidR="00564065">
        <w:t>permit</w:t>
      </w:r>
      <w:r w:rsidR="007B18E8">
        <w:t>s</w:t>
      </w:r>
      <w:r w:rsidR="00564065">
        <w:t xml:space="preserve"> shall be considered acceptance of its terms and conditions</w:t>
      </w:r>
      <w:r w:rsidR="00564065" w:rsidRPr="006243B7">
        <w:t>.</w:t>
      </w:r>
    </w:p>
    <w:p w:rsidR="00564065" w:rsidRDefault="00564065" w:rsidP="00564065">
      <w:pPr>
        <w:numPr>
          <w:ilvl w:val="0"/>
          <w:numId w:val="1"/>
        </w:numPr>
      </w:pPr>
      <w:r>
        <w:lastRenderedPageBreak/>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rsidR="00750226">
        <w:t xml:space="preserve"> which</w:t>
      </w:r>
      <w:r w:rsidR="00BC593B">
        <w:t>,</w:t>
      </w:r>
      <w:r w:rsidR="00750226">
        <w:t xml:space="preserve"> supersedes Permit Nos. </w:t>
      </w:r>
      <w:r w:rsidR="002C6A5D">
        <w:t xml:space="preserve">6790 </w:t>
      </w:r>
      <w:r w:rsidR="00750226">
        <w:t xml:space="preserve">and </w:t>
      </w:r>
      <w:r w:rsidR="002C6A5D">
        <w:t>6791</w:t>
      </w:r>
      <w:r w:rsidR="00BC593B">
        <w:t>,</w:t>
      </w:r>
      <w:r w:rsidR="002C6A5D">
        <w:t xml:space="preserve"> </w:t>
      </w:r>
      <w:r>
        <w:t>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rsidR="009909FA" w:rsidRDefault="009909FA" w:rsidP="009909FA">
      <w:pPr>
        <w:pStyle w:val="ListParagraph"/>
      </w:pPr>
    </w:p>
    <w:p w:rsidR="009909FA" w:rsidRDefault="00211F9E" w:rsidP="00564065">
      <w:pPr>
        <w:numPr>
          <w:ilvl w:val="0"/>
          <w:numId w:val="1"/>
        </w:numPr>
      </w:pPr>
      <w:r>
        <w:t>Emergency situations shall be handled in accordance with the provisions of 20 DCMR 302.7(a) through (c).</w:t>
      </w:r>
    </w:p>
    <w:p w:rsidR="00D835CE" w:rsidRDefault="00D835CE" w:rsidP="00D835CE">
      <w:pPr>
        <w:pStyle w:val="ListParagraph"/>
      </w:pPr>
    </w:p>
    <w:p w:rsidR="00D835CE" w:rsidRDefault="00D835CE" w:rsidP="00564065">
      <w:pPr>
        <w:numPr>
          <w:ilvl w:val="0"/>
          <w:numId w:val="1"/>
        </w:numPr>
      </w:pPr>
      <w:r>
        <w:t xml:space="preserve">If not already completed by the date of this set of permits, within </w:t>
      </w:r>
      <w:r w:rsidR="00BC593B">
        <w:t>three</w:t>
      </w:r>
      <w:r>
        <w:t xml:space="preserve"> (</w:t>
      </w:r>
      <w:r w:rsidR="00BC593B">
        <w:t>3</w:t>
      </w:r>
      <w:r>
        <w:t xml:space="preserve">) months of issuance of this set of permits to operate, the Permittee shall submit a complete application to modify the facility’s Title V operating permit to include the requirements of this set of permits [20 DCMR 301.1(a)(3)].  This application is due by </w:t>
      </w:r>
      <w:r w:rsidR="00BC593B">
        <w:t>October 9, 2019</w:t>
      </w:r>
      <w:r>
        <w:t>.</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054D46" w:rsidRDefault="00054D46" w:rsidP="00564065">
      <w:pPr>
        <w:ind w:left="360" w:hanging="360"/>
      </w:pPr>
    </w:p>
    <w:p w:rsidR="00564065" w:rsidRDefault="00A445E4" w:rsidP="00564065">
      <w:pPr>
        <w:numPr>
          <w:ilvl w:val="1"/>
          <w:numId w:val="4"/>
        </w:numPr>
        <w:tabs>
          <w:tab w:val="num" w:pos="720"/>
        </w:tabs>
        <w:ind w:left="720" w:hanging="360"/>
        <w:jc w:val="both"/>
      </w:pPr>
      <w:r>
        <w:t>Each of the two (2) identical 7.0 million BTU per hour Cleaver Brooks dual-fueled boilers</w:t>
      </w:r>
      <w:r w:rsidR="00564065">
        <w:t xml:space="preserve"> (identified as </w:t>
      </w:r>
      <w:r>
        <w:t xml:space="preserve">EUN 321 </w:t>
      </w:r>
      <w:r w:rsidR="00C2728F">
        <w:t>and</w:t>
      </w:r>
      <w:r w:rsidR="005B7510">
        <w:t xml:space="preserve"> </w:t>
      </w:r>
      <w:r>
        <w:t>EUN 322</w:t>
      </w:r>
      <w:r w:rsidR="00564065">
        <w:t xml:space="preserve">) shall not emit pollutants in excess of those specified in the following table </w:t>
      </w:r>
      <w:r w:rsidR="00564065" w:rsidRPr="009E088B">
        <w:t>[20 DCMR 201]:</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5D5F88" w:rsidRPr="00F94676" w:rsidTr="005D5F88">
        <w:trPr>
          <w:tblHeader/>
        </w:trPr>
        <w:tc>
          <w:tcPr>
            <w:tcW w:w="3870" w:type="dxa"/>
          </w:tcPr>
          <w:p w:rsidR="005D5F88" w:rsidRPr="00F940A6" w:rsidRDefault="005D5F88" w:rsidP="00B60EF2">
            <w:pPr>
              <w:tabs>
                <w:tab w:val="left" w:pos="-1440"/>
                <w:tab w:val="left" w:pos="1080"/>
              </w:tabs>
              <w:jc w:val="center"/>
              <w:rPr>
                <w:b/>
              </w:rPr>
            </w:pPr>
            <w:r w:rsidRPr="00F940A6">
              <w:rPr>
                <w:b/>
              </w:rPr>
              <w:t>Pollutant</w:t>
            </w:r>
          </w:p>
          <w:p w:rsidR="005D5F88" w:rsidRPr="00F940A6" w:rsidRDefault="005D5F88" w:rsidP="00B60EF2">
            <w:pPr>
              <w:tabs>
                <w:tab w:val="left" w:pos="-1440"/>
                <w:tab w:val="left" w:pos="1080"/>
              </w:tabs>
              <w:jc w:val="center"/>
              <w:rPr>
                <w:b/>
              </w:rPr>
            </w:pPr>
          </w:p>
        </w:tc>
        <w:tc>
          <w:tcPr>
            <w:tcW w:w="2160" w:type="dxa"/>
          </w:tcPr>
          <w:p w:rsidR="005D5F88" w:rsidRPr="00F940A6" w:rsidRDefault="005D5F88" w:rsidP="00B60EF2">
            <w:pPr>
              <w:tabs>
                <w:tab w:val="left" w:pos="-1440"/>
                <w:tab w:val="left" w:pos="1080"/>
              </w:tabs>
              <w:jc w:val="center"/>
              <w:rPr>
                <w:b/>
              </w:rPr>
            </w:pPr>
            <w:r w:rsidRPr="00F940A6">
              <w:rPr>
                <w:b/>
              </w:rPr>
              <w:t xml:space="preserve">Short-Term Limit </w:t>
            </w:r>
          </w:p>
          <w:p w:rsidR="005D5F88" w:rsidRPr="00F940A6" w:rsidRDefault="005D5F88"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5D5F88" w:rsidRPr="00F940A6" w:rsidRDefault="005D5F88" w:rsidP="005D5F88">
            <w:pPr>
              <w:tabs>
                <w:tab w:val="left" w:pos="-1440"/>
                <w:tab w:val="left" w:pos="1080"/>
              </w:tabs>
              <w:jc w:val="center"/>
              <w:rPr>
                <w:b/>
              </w:rPr>
            </w:pPr>
            <w:r w:rsidRPr="00F940A6">
              <w:rPr>
                <w:b/>
              </w:rPr>
              <w:t xml:space="preserve">Short-Term Limit </w:t>
            </w:r>
          </w:p>
          <w:p w:rsidR="005D5F88" w:rsidRPr="00F940A6" w:rsidRDefault="005D5F88" w:rsidP="005D5F88">
            <w:pPr>
              <w:tabs>
                <w:tab w:val="left" w:pos="-1440"/>
                <w:tab w:val="left" w:pos="1080"/>
              </w:tabs>
              <w:jc w:val="center"/>
              <w:rPr>
                <w:b/>
              </w:rPr>
            </w:pPr>
            <w:r w:rsidRPr="00F940A6">
              <w:rPr>
                <w:b/>
              </w:rPr>
              <w:t>(</w:t>
            </w:r>
            <w:r>
              <w:rPr>
                <w:b/>
              </w:rPr>
              <w:t>No. 2 Fuel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D5F88" w:rsidRPr="00F94676" w:rsidTr="005D5F88">
        <w:tc>
          <w:tcPr>
            <w:tcW w:w="3870" w:type="dxa"/>
          </w:tcPr>
          <w:p w:rsidR="005D5F88" w:rsidRPr="00F940A6" w:rsidRDefault="005D5F88" w:rsidP="00B60EF2">
            <w:pPr>
              <w:tabs>
                <w:tab w:val="left" w:pos="-1440"/>
                <w:tab w:val="left" w:pos="1080"/>
              </w:tabs>
            </w:pPr>
            <w:r w:rsidRPr="00F940A6">
              <w:t>Carbon Monoxide (CO)</w:t>
            </w:r>
          </w:p>
        </w:tc>
        <w:tc>
          <w:tcPr>
            <w:tcW w:w="2160" w:type="dxa"/>
          </w:tcPr>
          <w:p w:rsidR="005D5F88" w:rsidRPr="0099125F" w:rsidRDefault="003A34F3" w:rsidP="00187009">
            <w:pPr>
              <w:tabs>
                <w:tab w:val="left" w:pos="-1440"/>
                <w:tab w:val="left" w:pos="1080"/>
              </w:tabs>
              <w:jc w:val="center"/>
            </w:pPr>
            <w:r>
              <w:t>0.576</w:t>
            </w:r>
          </w:p>
        </w:tc>
        <w:tc>
          <w:tcPr>
            <w:tcW w:w="2160" w:type="dxa"/>
          </w:tcPr>
          <w:p w:rsidR="005D5F88" w:rsidRDefault="009953BB" w:rsidP="00F6722E">
            <w:pPr>
              <w:tabs>
                <w:tab w:val="left" w:pos="-1440"/>
                <w:tab w:val="left" w:pos="1080"/>
              </w:tabs>
              <w:jc w:val="center"/>
            </w:pPr>
            <w:r>
              <w:t>0.</w:t>
            </w:r>
            <w:r w:rsidR="00F6722E">
              <w:t>239</w:t>
            </w:r>
          </w:p>
        </w:tc>
      </w:tr>
      <w:tr w:rsidR="005D5F88" w:rsidRPr="00F94676" w:rsidTr="005D5F88">
        <w:tc>
          <w:tcPr>
            <w:tcW w:w="3870" w:type="dxa"/>
          </w:tcPr>
          <w:p w:rsidR="005D5F88" w:rsidRPr="00F940A6" w:rsidRDefault="005D5F88" w:rsidP="00B60EF2">
            <w:pPr>
              <w:tabs>
                <w:tab w:val="left" w:pos="-1440"/>
                <w:tab w:val="left" w:pos="1080"/>
              </w:tabs>
            </w:pPr>
            <w:r w:rsidRPr="00F940A6">
              <w:t>Oxides of Nitrogen (NO</w:t>
            </w:r>
            <w:r w:rsidRPr="00F940A6">
              <w:rPr>
                <w:vertAlign w:val="subscript"/>
              </w:rPr>
              <w:t>x</w:t>
            </w:r>
            <w:r w:rsidRPr="00F940A6">
              <w:t>)</w:t>
            </w:r>
          </w:p>
        </w:tc>
        <w:tc>
          <w:tcPr>
            <w:tcW w:w="2160" w:type="dxa"/>
          </w:tcPr>
          <w:p w:rsidR="005D5F88" w:rsidRPr="0099125F" w:rsidRDefault="003A34F3" w:rsidP="00187009">
            <w:pPr>
              <w:tabs>
                <w:tab w:val="left" w:pos="-1440"/>
                <w:tab w:val="left" w:pos="1080"/>
              </w:tabs>
              <w:jc w:val="center"/>
            </w:pPr>
            <w:r>
              <w:t>0.686</w:t>
            </w:r>
          </w:p>
        </w:tc>
        <w:tc>
          <w:tcPr>
            <w:tcW w:w="2160" w:type="dxa"/>
          </w:tcPr>
          <w:p w:rsidR="005D5F88" w:rsidRDefault="009953BB" w:rsidP="00F6722E">
            <w:pPr>
              <w:tabs>
                <w:tab w:val="left" w:pos="-1440"/>
                <w:tab w:val="left" w:pos="1080"/>
              </w:tabs>
              <w:jc w:val="center"/>
            </w:pPr>
            <w:r>
              <w:t>0.</w:t>
            </w:r>
            <w:r w:rsidR="00F6722E">
              <w:t>956</w:t>
            </w:r>
          </w:p>
        </w:tc>
      </w:tr>
      <w:tr w:rsidR="005D5F88" w:rsidRPr="00F94676" w:rsidTr="005D5F88">
        <w:tc>
          <w:tcPr>
            <w:tcW w:w="3870" w:type="dxa"/>
          </w:tcPr>
          <w:p w:rsidR="005D5F88" w:rsidRPr="00F940A6" w:rsidRDefault="005D5F88" w:rsidP="00C74823">
            <w:pPr>
              <w:tabs>
                <w:tab w:val="left" w:pos="-1440"/>
                <w:tab w:val="left" w:pos="1080"/>
              </w:tabs>
            </w:pPr>
            <w:r w:rsidRPr="00F940A6">
              <w:t>Total Particulate Matter (PM Total)</w:t>
            </w:r>
            <w:r>
              <w:rPr>
                <w:vertAlign w:val="superscript"/>
              </w:rPr>
              <w:t>1</w:t>
            </w:r>
          </w:p>
        </w:tc>
        <w:tc>
          <w:tcPr>
            <w:tcW w:w="2160" w:type="dxa"/>
          </w:tcPr>
          <w:p w:rsidR="005D5F88" w:rsidRPr="0099125F" w:rsidRDefault="003A34F3" w:rsidP="006F7291">
            <w:pPr>
              <w:tabs>
                <w:tab w:val="left" w:pos="-1440"/>
                <w:tab w:val="left" w:pos="1080"/>
              </w:tabs>
              <w:jc w:val="center"/>
            </w:pPr>
            <w:r>
              <w:t>0.052</w:t>
            </w:r>
          </w:p>
        </w:tc>
        <w:tc>
          <w:tcPr>
            <w:tcW w:w="2160" w:type="dxa"/>
          </w:tcPr>
          <w:p w:rsidR="005D5F88" w:rsidRDefault="009953BB" w:rsidP="00F6722E">
            <w:pPr>
              <w:tabs>
                <w:tab w:val="left" w:pos="-1440"/>
                <w:tab w:val="left" w:pos="1080"/>
              </w:tabs>
              <w:jc w:val="center"/>
            </w:pPr>
            <w:r>
              <w:t>0.</w:t>
            </w:r>
            <w:r w:rsidR="00F6722E">
              <w:t>158</w:t>
            </w:r>
          </w:p>
        </w:tc>
      </w:tr>
      <w:tr w:rsidR="005D5F88" w:rsidRPr="00F94676" w:rsidTr="005D5F88">
        <w:tc>
          <w:tcPr>
            <w:tcW w:w="3870" w:type="dxa"/>
          </w:tcPr>
          <w:p w:rsidR="005D5F88" w:rsidRPr="00F940A6" w:rsidRDefault="005D5F88" w:rsidP="00B60EF2">
            <w:pPr>
              <w:tabs>
                <w:tab w:val="left" w:pos="-1440"/>
                <w:tab w:val="left" w:pos="1080"/>
              </w:tabs>
            </w:pPr>
            <w:r w:rsidRPr="00F940A6">
              <w:lastRenderedPageBreak/>
              <w:t>Sulfur Dioxide (SO</w:t>
            </w:r>
            <w:r w:rsidRPr="00F940A6">
              <w:rPr>
                <w:vertAlign w:val="subscript"/>
              </w:rPr>
              <w:t>2</w:t>
            </w:r>
            <w:r w:rsidRPr="00F940A6">
              <w:t>)</w:t>
            </w:r>
          </w:p>
        </w:tc>
        <w:tc>
          <w:tcPr>
            <w:tcW w:w="2160" w:type="dxa"/>
          </w:tcPr>
          <w:p w:rsidR="005D5F88" w:rsidRPr="0099125F" w:rsidRDefault="003A34F3" w:rsidP="00187009">
            <w:pPr>
              <w:tabs>
                <w:tab w:val="left" w:pos="-1440"/>
                <w:tab w:val="left" w:pos="1080"/>
              </w:tabs>
              <w:jc w:val="center"/>
            </w:pPr>
            <w:r>
              <w:t>0.004</w:t>
            </w:r>
          </w:p>
        </w:tc>
        <w:tc>
          <w:tcPr>
            <w:tcW w:w="2160" w:type="dxa"/>
          </w:tcPr>
          <w:p w:rsidR="005D5F88" w:rsidRDefault="009953BB" w:rsidP="00BC593B">
            <w:pPr>
              <w:tabs>
                <w:tab w:val="left" w:pos="-1440"/>
                <w:tab w:val="left" w:pos="1080"/>
              </w:tabs>
              <w:jc w:val="center"/>
            </w:pPr>
            <w:r>
              <w:t>0.</w:t>
            </w:r>
            <w:r w:rsidR="00F6722E">
              <w:t>010</w:t>
            </w:r>
          </w:p>
        </w:tc>
      </w:tr>
      <w:tr w:rsidR="005D5F88" w:rsidRPr="00F94676" w:rsidTr="005D5F88">
        <w:tc>
          <w:tcPr>
            <w:tcW w:w="3870" w:type="dxa"/>
          </w:tcPr>
          <w:p w:rsidR="005D5F88" w:rsidRPr="00F940A6" w:rsidRDefault="005D5F88" w:rsidP="00B60EF2">
            <w:pPr>
              <w:tabs>
                <w:tab w:val="left" w:pos="-1440"/>
                <w:tab w:val="left" w:pos="1080"/>
              </w:tabs>
            </w:pPr>
            <w:r>
              <w:t>Volatile Organic Compounds (VOC)</w:t>
            </w:r>
          </w:p>
        </w:tc>
        <w:tc>
          <w:tcPr>
            <w:tcW w:w="2160" w:type="dxa"/>
          </w:tcPr>
          <w:p w:rsidR="005D5F88" w:rsidRDefault="003A34F3" w:rsidP="00187009">
            <w:pPr>
              <w:tabs>
                <w:tab w:val="left" w:pos="-1440"/>
                <w:tab w:val="left" w:pos="1080"/>
              </w:tabs>
              <w:jc w:val="center"/>
            </w:pPr>
            <w:r>
              <w:t>0.038</w:t>
            </w:r>
          </w:p>
        </w:tc>
        <w:tc>
          <w:tcPr>
            <w:tcW w:w="2160" w:type="dxa"/>
          </w:tcPr>
          <w:p w:rsidR="005D5F88" w:rsidRDefault="00BC593B" w:rsidP="00BC593B">
            <w:pPr>
              <w:tabs>
                <w:tab w:val="left" w:pos="-1440"/>
                <w:tab w:val="left" w:pos="1080"/>
              </w:tabs>
              <w:jc w:val="center"/>
            </w:pPr>
            <w:r>
              <w:t>0.017</w:t>
            </w:r>
          </w:p>
        </w:tc>
      </w:tr>
    </w:tbl>
    <w:p w:rsidR="00564065" w:rsidRPr="00F940A6" w:rsidRDefault="00C74823" w:rsidP="00564065">
      <w:pPr>
        <w:ind w:left="720"/>
      </w:pPr>
      <w:r>
        <w:rPr>
          <w:vertAlign w:val="superscript"/>
        </w:rPr>
        <w:t>1</w:t>
      </w:r>
      <w:r w:rsidR="00564065" w:rsidRPr="00F940A6">
        <w:t>PM Total includes both filterable and condensable fractions.</w:t>
      </w:r>
    </w:p>
    <w:p w:rsidR="00564065" w:rsidRDefault="00564065" w:rsidP="00564065">
      <w:pPr>
        <w:ind w:left="720"/>
      </w:pPr>
    </w:p>
    <w:p w:rsidR="00EB1E1D" w:rsidRPr="00EB1E1D" w:rsidRDefault="00EB1E1D" w:rsidP="00564065">
      <w:pPr>
        <w:ind w:left="720"/>
        <w:rPr>
          <w:i/>
        </w:rPr>
      </w:pPr>
      <w:r w:rsidRPr="00EB1E1D">
        <w:rPr>
          <w:i/>
        </w:rPr>
        <w:t>Note that, unless other credible evidence of a violation, such as test resul</w:t>
      </w:r>
      <w:r>
        <w:rPr>
          <w:i/>
        </w:rPr>
        <w:t xml:space="preserve">ts required under Condition </w:t>
      </w:r>
      <w:proofErr w:type="gramStart"/>
      <w:r>
        <w:rPr>
          <w:i/>
        </w:rPr>
        <w:t>IV(</w:t>
      </w:r>
      <w:proofErr w:type="gramEnd"/>
      <w:r>
        <w:rPr>
          <w:i/>
        </w:rPr>
        <w:t>a</w:t>
      </w:r>
      <w:r w:rsidRPr="00EB1E1D">
        <w:rPr>
          <w:i/>
        </w:rPr>
        <w:t>), are identified, compliance with Condition</w:t>
      </w:r>
      <w:r>
        <w:rPr>
          <w:i/>
        </w:rPr>
        <w:t>s</w:t>
      </w:r>
      <w:r w:rsidRPr="00EB1E1D">
        <w:rPr>
          <w:i/>
        </w:rPr>
        <w:t xml:space="preserve"> III(a)</w:t>
      </w:r>
      <w:r>
        <w:rPr>
          <w:i/>
        </w:rPr>
        <w:t xml:space="preserve"> and (b)</w:t>
      </w:r>
      <w:r w:rsidRPr="00EB1E1D">
        <w:rPr>
          <w:i/>
        </w:rPr>
        <w:t xml:space="preserve"> of this permit will be considered compliance with this condition.</w:t>
      </w:r>
    </w:p>
    <w:p w:rsidR="00EB1E1D" w:rsidRPr="0071289B" w:rsidRDefault="00EB1E1D" w:rsidP="00564065">
      <w:pPr>
        <w:ind w:left="720"/>
      </w:pPr>
    </w:p>
    <w:p w:rsidR="00EB1E1D" w:rsidRDefault="00564065" w:rsidP="00EB1E1D">
      <w:pPr>
        <w:ind w:left="720" w:hanging="360"/>
        <w:jc w:val="both"/>
        <w:rPr>
          <w:i/>
        </w:rPr>
      </w:pPr>
      <w:r>
        <w:t>b.</w:t>
      </w:r>
      <w:r>
        <w:tab/>
      </w:r>
      <w:r w:rsidR="00EB1E1D">
        <w:t>Total suspended p</w:t>
      </w:r>
      <w:r w:rsidR="00EB1E1D" w:rsidRPr="006A4B1F">
        <w:t xml:space="preserve">articulate matter </w:t>
      </w:r>
      <w:r w:rsidR="00EB1E1D">
        <w:t xml:space="preserve">(TSP) </w:t>
      </w:r>
      <w:r w:rsidR="00EB1E1D" w:rsidRPr="006A4B1F">
        <w:t>emission</w:t>
      </w:r>
      <w:r w:rsidR="00EB1E1D">
        <w:t>s</w:t>
      </w:r>
      <w:r w:rsidR="00EB1E1D" w:rsidRPr="006A4B1F">
        <w:t xml:space="preserve"> from </w:t>
      </w:r>
      <w:r w:rsidR="00EB1E1D">
        <w:t>the each of the boilers shall not be greater than 0.11</w:t>
      </w:r>
      <w:r w:rsidR="00EB1E1D" w:rsidRPr="006A4B1F">
        <w:t xml:space="preserve"> pounds per million BTU. </w:t>
      </w:r>
      <w:proofErr w:type="gramStart"/>
      <w:r w:rsidR="00EB1E1D" w:rsidRPr="006A4B1F">
        <w:t>[20 DCMR 600.1].</w:t>
      </w:r>
      <w:proofErr w:type="gramEnd"/>
      <w:r w:rsidR="00EB1E1D" w:rsidRPr="00B803F0">
        <w:rPr>
          <w:i/>
        </w:rPr>
        <w:t xml:space="preserve"> </w:t>
      </w:r>
      <w:r w:rsidR="00EB1E1D">
        <w:rPr>
          <w:i/>
        </w:rPr>
        <w:t xml:space="preserve">Note that, unless other credible evidence of a violation, such as test results required under Condition </w:t>
      </w:r>
      <w:proofErr w:type="gramStart"/>
      <w:r w:rsidR="00EB1E1D">
        <w:rPr>
          <w:i/>
        </w:rPr>
        <w:t>IV(</w:t>
      </w:r>
      <w:proofErr w:type="gramEnd"/>
      <w:r w:rsidR="00EB1E1D">
        <w:rPr>
          <w:i/>
        </w:rPr>
        <w:t>a), are identified, compliance with Conditions III(a) and (b) of this permit will be considered compliance with this condition.</w:t>
      </w:r>
    </w:p>
    <w:p w:rsidR="00EB1E1D" w:rsidRDefault="00EB1E1D" w:rsidP="00EB1E1D">
      <w:pPr>
        <w:jc w:val="both"/>
      </w:pPr>
    </w:p>
    <w:p w:rsidR="00564065" w:rsidRDefault="00EB1E1D" w:rsidP="00564065">
      <w:pPr>
        <w:numPr>
          <w:ilvl w:val="1"/>
          <w:numId w:val="2"/>
        </w:numPr>
        <w:ind w:left="720" w:hanging="720"/>
      </w:pPr>
      <w:r>
        <w:t>c.</w:t>
      </w:r>
      <w:r>
        <w:tab/>
      </w:r>
      <w:r w:rsidR="00564065" w:rsidRPr="006243B7">
        <w:t xml:space="preserve">Visible emissions shall </w:t>
      </w:r>
      <w:r w:rsidR="00564065">
        <w:t>not be emitted into the outdoor atmosphere from the boiler</w:t>
      </w:r>
      <w:r w:rsidR="00FA7278">
        <w:t>s</w:t>
      </w:r>
      <w:r w:rsidR="00564065">
        <w:t>, except that discharges not exceeding forty percent (40%) opacity (</w:t>
      </w:r>
      <w:proofErr w:type="spellStart"/>
      <w:r w:rsidR="00564065">
        <w:t>unaveraged</w:t>
      </w:r>
      <w:proofErr w:type="spellEnd"/>
      <w:r w:rsidR="00564065">
        <w:t>) shall be permitted for two (2) minutes in any sixty (60) minute period and for an aggregate of twelve (12) minutes in any twenty-four hour (24 hr.) period during start-up, cleaning, adjustment of combustion controls, or malfunction of the equipment [20 DCMR 606.1]</w:t>
      </w:r>
    </w:p>
    <w:p w:rsidR="00EB1E1D" w:rsidRDefault="00EB1E1D" w:rsidP="00EB1E1D">
      <w:pPr>
        <w:ind w:left="720"/>
      </w:pPr>
    </w:p>
    <w:p w:rsidR="00EB1E1D" w:rsidRDefault="00EB1E1D" w:rsidP="00EB1E1D">
      <w:pPr>
        <w:ind w:left="720"/>
      </w:pPr>
      <w:r>
        <w:t>Violation of this standard, as a result of unavoidable malfunction, despite the conscientious employment of control practices, shall constitute an affirmative defense on which the Permittee shall bear the burden of proof. Periods of malfunction shall cease to be unavoidable malfunctions if reasonable steps are not taken to eliminate the malfunction within a reasonable time. [20 DCMR 606.5]</w:t>
      </w:r>
    </w:p>
    <w:p w:rsidR="00FE0FB2" w:rsidRDefault="00FE0FB2" w:rsidP="00FE0FB2">
      <w:pPr>
        <w:ind w:left="720"/>
      </w:pPr>
    </w:p>
    <w:p w:rsidR="00FE0FB2" w:rsidRPr="00FE0FB2" w:rsidRDefault="00FE0FB2" w:rsidP="00FE0FB2">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EB1E1D" w:rsidRDefault="00EB1E1D" w:rsidP="00564065"/>
    <w:p w:rsidR="00EB1E1D" w:rsidRDefault="00EB1E1D" w:rsidP="00EB1E1D">
      <w:pPr>
        <w:ind w:left="720" w:hanging="360"/>
      </w:pPr>
      <w:r>
        <w:t>d.</w:t>
      </w:r>
      <w:r>
        <w:tab/>
      </w:r>
      <w:r w:rsidRPr="00EB1E1D">
        <w:t>Where the presence of uncombined water is the only reason for failure of an emission to meet th</w:t>
      </w:r>
      <w:r>
        <w:t>e requirements of Condition II(c</w:t>
      </w:r>
      <w:r w:rsidRPr="00EB1E1D">
        <w:t>), the latter shall not be applicable. [20 DCMR 606.7]</w:t>
      </w:r>
    </w:p>
    <w:p w:rsidR="00564065" w:rsidRPr="006243B7" w:rsidRDefault="00564065" w:rsidP="00564065">
      <w:pPr>
        <w:autoSpaceDE w:val="0"/>
        <w:autoSpaceDN w:val="0"/>
        <w:adjustRightInd w:val="0"/>
        <w:ind w:left="720" w:hanging="360"/>
      </w:pPr>
    </w:p>
    <w:p w:rsidR="00564065" w:rsidRDefault="003E1014" w:rsidP="00EB1E1D">
      <w:pPr>
        <w:pStyle w:val="ListParagraph"/>
        <w:ind w:hanging="360"/>
      </w:pPr>
      <w:r>
        <w:lastRenderedPageBreak/>
        <w:t>e</w:t>
      </w:r>
      <w:r w:rsidR="00EB1E1D">
        <w:t>.</w:t>
      </w:r>
      <w:r w:rsidR="00EB1E1D">
        <w:tab/>
      </w:r>
      <w:r w:rsidR="00564065" w:rsidRPr="006243B7">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206ED0" w:rsidRPr="00EB1E1D" w:rsidRDefault="003E1014" w:rsidP="00206ED0">
      <w:pPr>
        <w:spacing w:before="240"/>
        <w:ind w:left="720" w:hanging="360"/>
        <w:rPr>
          <w:i/>
        </w:rPr>
      </w:pPr>
      <w:proofErr w:type="gramStart"/>
      <w:r>
        <w:t>f</w:t>
      </w:r>
      <w:r w:rsidR="00206ED0">
        <w:t>.</w:t>
      </w:r>
      <w:r w:rsidR="00206ED0">
        <w:tab/>
      </w:r>
      <w:r w:rsidR="00206ED0" w:rsidRPr="007E529D">
        <w:t>NOx</w:t>
      </w:r>
      <w:proofErr w:type="gramEnd"/>
      <w:r w:rsidR="00206ED0" w:rsidRPr="007E529D">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w:t>
      </w:r>
      <w:r w:rsidR="00206ED0">
        <w:t>805.1(a</w:t>
      </w:r>
      <w:proofErr w:type="gramStart"/>
      <w:r w:rsidR="00206ED0">
        <w:t>)(</w:t>
      </w:r>
      <w:proofErr w:type="gramEnd"/>
      <w:r w:rsidR="00206ED0">
        <w:t xml:space="preserve">4) and 20 DCMR </w:t>
      </w:r>
      <w:r w:rsidR="00206ED0" w:rsidRPr="007E529D">
        <w:t>805.8(a) and (b)]:</w:t>
      </w:r>
      <w:r w:rsidR="00EB1E1D">
        <w:t xml:space="preserve"> </w:t>
      </w:r>
      <w:r w:rsidR="00EB1E1D">
        <w:rPr>
          <w:i/>
        </w:rPr>
        <w:t>Note that this condition does not establish a specific numeric standard with which the Permittee must continuously apply, but rather establishes a work practice that must be properly performed each year and tuned operational baseline where the unit must be operated.</w:t>
      </w:r>
    </w:p>
    <w:p w:rsidR="00206ED0" w:rsidRDefault="00206ED0" w:rsidP="00206ED0">
      <w:pPr>
        <w:pStyle w:val="ListParagraph"/>
        <w:numPr>
          <w:ilvl w:val="2"/>
          <w:numId w:val="4"/>
        </w:numPr>
        <w:tabs>
          <w:tab w:val="clear" w:pos="1224"/>
          <w:tab w:val="num" w:pos="1080"/>
        </w:tabs>
        <w:spacing w:before="240"/>
        <w:ind w:left="1080" w:hanging="360"/>
      </w:pPr>
      <w:r>
        <w:t>Inspection, adjustment, cleaning or replacement of fuel burning equipment, including the burners and moving parts necessary for proper operation as specified by the manufacturer;</w:t>
      </w:r>
    </w:p>
    <w:p w:rsidR="00206ED0" w:rsidRDefault="00206ED0" w:rsidP="00206ED0">
      <w:pPr>
        <w:pStyle w:val="ListParagraph"/>
        <w:tabs>
          <w:tab w:val="num" w:pos="1080"/>
        </w:tabs>
        <w:spacing w:before="240"/>
        <w:ind w:left="1080" w:hanging="360"/>
      </w:pPr>
    </w:p>
    <w:p w:rsidR="00206ED0" w:rsidRDefault="00206ED0" w:rsidP="00206ED0">
      <w:pPr>
        <w:pStyle w:val="ListParagraph"/>
        <w:numPr>
          <w:ilvl w:val="2"/>
          <w:numId w:val="4"/>
        </w:numPr>
        <w:tabs>
          <w:tab w:val="clear" w:pos="1224"/>
          <w:tab w:val="num" w:pos="1080"/>
        </w:tabs>
        <w:spacing w:before="240"/>
        <w:ind w:left="1080" w:hanging="360"/>
      </w:pPr>
      <w:r>
        <w:t>Inspection of the flame pattern or characteristics and adjustments necessary to minimize total emissions of NO</w:t>
      </w:r>
      <w:r w:rsidRPr="0097063A">
        <w:rPr>
          <w:vertAlign w:val="subscript"/>
        </w:rPr>
        <w:t>x</w:t>
      </w:r>
      <w:r>
        <w:t xml:space="preserve"> and, to the extent practicable, minimize emissions of CO;</w:t>
      </w:r>
    </w:p>
    <w:p w:rsidR="00206ED0" w:rsidRDefault="00206ED0" w:rsidP="00206ED0">
      <w:pPr>
        <w:pStyle w:val="ListParagraph"/>
        <w:tabs>
          <w:tab w:val="num" w:pos="1080"/>
        </w:tabs>
        <w:spacing w:before="240"/>
        <w:ind w:left="1080" w:hanging="360"/>
      </w:pPr>
    </w:p>
    <w:p w:rsidR="00206ED0" w:rsidRDefault="00206ED0" w:rsidP="00206ED0">
      <w:pPr>
        <w:pStyle w:val="ListParagraph"/>
        <w:numPr>
          <w:ilvl w:val="2"/>
          <w:numId w:val="4"/>
        </w:numPr>
        <w:tabs>
          <w:tab w:val="clear" w:pos="1224"/>
          <w:tab w:val="num" w:pos="1080"/>
        </w:tabs>
        <w:spacing w:before="240"/>
        <w:ind w:left="1080" w:hanging="360"/>
      </w:pPr>
      <w:r>
        <w:rPr>
          <w:vertAlign w:val="subscript"/>
        </w:rPr>
        <w:t xml:space="preserve"> </w:t>
      </w:r>
      <w:r>
        <w:t>Inspection of the air-to-fuel ratio control system and adjustments necessary to ensure proper calibration and operation as specified by the manufacturer; and</w:t>
      </w:r>
    </w:p>
    <w:p w:rsidR="00206ED0" w:rsidRDefault="00206ED0" w:rsidP="00206ED0">
      <w:pPr>
        <w:pStyle w:val="ListParagraph"/>
        <w:tabs>
          <w:tab w:val="num" w:pos="1080"/>
        </w:tabs>
        <w:ind w:left="1080" w:hanging="360"/>
      </w:pPr>
    </w:p>
    <w:p w:rsidR="00206ED0" w:rsidRDefault="00206ED0" w:rsidP="00206ED0">
      <w:pPr>
        <w:pStyle w:val="ListParagraph"/>
        <w:numPr>
          <w:ilvl w:val="2"/>
          <w:numId w:val="4"/>
        </w:numPr>
        <w:tabs>
          <w:tab w:val="clear" w:pos="1224"/>
          <w:tab w:val="num" w:pos="1080"/>
        </w:tabs>
        <w:spacing w:before="240"/>
        <w:ind w:left="1080" w:hanging="360"/>
      </w:pPr>
      <w:r>
        <w:t>Adjustments shall be made such that the maximum emission rate for any contaminant does not exceed the maximum allowable emission rate as set forth in Condition II of this permit.</w:t>
      </w:r>
    </w:p>
    <w:p w:rsidR="0066238A" w:rsidRDefault="0066238A"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B42CCA" w:rsidP="00564065">
      <w:pPr>
        <w:numPr>
          <w:ilvl w:val="1"/>
          <w:numId w:val="2"/>
        </w:numPr>
        <w:ind w:left="720" w:hanging="720"/>
      </w:pPr>
      <w:r>
        <w:t xml:space="preserve">a. </w:t>
      </w:r>
      <w:r w:rsidR="008275B1" w:rsidRPr="00EF20BA">
        <w:t xml:space="preserve">The </w:t>
      </w:r>
      <w:r w:rsidR="0070131C">
        <w:t>primary fuel</w:t>
      </w:r>
      <w:r w:rsidR="008275B1" w:rsidRPr="00EF20BA">
        <w:t xml:space="preserve"> for </w:t>
      </w:r>
      <w:r w:rsidR="008275B1">
        <w:t xml:space="preserve">use in </w:t>
      </w:r>
      <w:r w:rsidR="008275B1" w:rsidRPr="00EF20BA">
        <w:t>the boilers shall be natural gas. [20 DCMR 201]</w:t>
      </w:r>
    </w:p>
    <w:p w:rsidR="008275B1" w:rsidRDefault="008275B1" w:rsidP="00564065">
      <w:pPr>
        <w:numPr>
          <w:ilvl w:val="1"/>
          <w:numId w:val="2"/>
        </w:numPr>
        <w:ind w:left="720" w:hanging="720"/>
      </w:pPr>
    </w:p>
    <w:p w:rsidR="008275B1" w:rsidRDefault="00B42CCA" w:rsidP="00B42CCA">
      <w:pPr>
        <w:ind w:left="630" w:hanging="630"/>
      </w:pPr>
      <w:r>
        <w:t xml:space="preserve">      b. </w:t>
      </w:r>
      <w:r w:rsidR="0070131C">
        <w:t>The alternative fuel for the boilers</w:t>
      </w:r>
      <w:r w:rsidR="00EB1E1D">
        <w:t xml:space="preserve">, used only in accordance with Condition </w:t>
      </w:r>
      <w:proofErr w:type="gramStart"/>
      <w:r w:rsidR="00EB1E1D">
        <w:t>III(</w:t>
      </w:r>
      <w:proofErr w:type="gramEnd"/>
      <w:r w:rsidR="00EB1E1D">
        <w:t>e),</w:t>
      </w:r>
      <w:r w:rsidR="0070131C">
        <w:t xml:space="preserve"> shall be No. 2 fuel oil</w:t>
      </w:r>
      <w:r w:rsidR="00EB1E1D">
        <w:t>. After July 1, 2018 the Permittee shall purchase only No. 2 fuel oil</w:t>
      </w:r>
      <w:r w:rsidR="0070131C">
        <w:t xml:space="preserve"> containing no greater than </w:t>
      </w:r>
      <w:r w:rsidR="00EB1E1D">
        <w:t>15 ppm (</w:t>
      </w:r>
      <w:r w:rsidR="0070131C">
        <w:t>0.0015%</w:t>
      </w:r>
      <w:r w:rsidR="00EB1E1D">
        <w:t>)</w:t>
      </w:r>
      <w:r w:rsidR="0070131C">
        <w:t xml:space="preserve"> sulfur by weight</w:t>
      </w:r>
      <w:r w:rsidR="00EB1E1D">
        <w:t xml:space="preserve"> for use in the unit</w:t>
      </w:r>
      <w:r w:rsidR="002E0809">
        <w:t>. [20 DCMR 201 and 20 DCMR 801.3</w:t>
      </w:r>
      <w:r w:rsidR="0070131C">
        <w:t xml:space="preserve">] </w:t>
      </w:r>
    </w:p>
    <w:p w:rsidR="002E0809" w:rsidRDefault="002E0809" w:rsidP="002E0809">
      <w:r>
        <w:tab/>
      </w:r>
    </w:p>
    <w:p w:rsidR="002E0809" w:rsidRDefault="002E0809" w:rsidP="00B42CCA">
      <w:pPr>
        <w:tabs>
          <w:tab w:val="left" w:pos="630"/>
        </w:tabs>
        <w:ind w:left="630" w:hanging="270"/>
      </w:pPr>
      <w:r>
        <w:t>c. This approval is valid for the specific activity cited in the application submitted to this office.  Any deviation from the specific activity is a violation of this permit document.</w:t>
      </w:r>
    </w:p>
    <w:p w:rsidR="002E0809" w:rsidRDefault="002E0809" w:rsidP="00537EBB">
      <w:pPr>
        <w:ind w:left="720" w:hanging="360"/>
      </w:pPr>
    </w:p>
    <w:p w:rsidR="00665E3E" w:rsidRDefault="00665E3E" w:rsidP="003F63D3">
      <w:pPr>
        <w:pStyle w:val="ListParagraph"/>
        <w:numPr>
          <w:ilvl w:val="0"/>
          <w:numId w:val="14"/>
        </w:numPr>
      </w:pPr>
      <w:r>
        <w:t xml:space="preserve">The boilers shall be operated at all times in a manner consistent with the </w:t>
      </w:r>
      <w:r w:rsidR="00C80FD8">
        <w:t xml:space="preserve">applicable </w:t>
      </w:r>
      <w:r>
        <w:t xml:space="preserve">manufacturer’s specifications for the </w:t>
      </w:r>
      <w:r w:rsidR="00EB1E1D">
        <w:t>equipment</w:t>
      </w:r>
      <w:r>
        <w:t>. [20 DCMR 201]</w:t>
      </w:r>
    </w:p>
    <w:p w:rsidR="0017320E" w:rsidRDefault="0017320E" w:rsidP="003F63D3">
      <w:pPr>
        <w:pStyle w:val="ListParagraph"/>
        <w:numPr>
          <w:ilvl w:val="0"/>
          <w:numId w:val="14"/>
        </w:numPr>
        <w:tabs>
          <w:tab w:val="left" w:pos="1440"/>
        </w:tabs>
      </w:pPr>
      <w:r>
        <w:lastRenderedPageBreak/>
        <w:t xml:space="preserve">The </w:t>
      </w:r>
      <w:r w:rsidR="003F63D3">
        <w:t>boilers shall operate on No. 2 fuel oil only for the following reasons:</w:t>
      </w:r>
      <w:r>
        <w:t xml:space="preserve"> [</w:t>
      </w:r>
      <w:r w:rsidR="003F63D3">
        <w:t>20</w:t>
      </w:r>
      <w:r>
        <w:t xml:space="preserve"> </w:t>
      </w:r>
      <w:r w:rsidR="003F63D3">
        <w:t>DCMR 201</w:t>
      </w:r>
      <w:r>
        <w:t xml:space="preserve">, </w:t>
      </w:r>
      <w:r w:rsidR="003F63D3">
        <w:t xml:space="preserve">40 CFR </w:t>
      </w:r>
      <w:r>
        <w:t>63.1119</w:t>
      </w:r>
      <w:r w:rsidR="003F63D3">
        <w:t>5</w:t>
      </w:r>
      <w:r>
        <w:t>(</w:t>
      </w:r>
      <w:r w:rsidR="003F63D3">
        <w:t>e)</w:t>
      </w:r>
      <w:r w:rsidR="00273F08">
        <w:t xml:space="preserve"> and </w:t>
      </w:r>
      <w:r w:rsidR="003F63D3">
        <w:t>40 CFR 63.112</w:t>
      </w:r>
      <w:r w:rsidR="00273F08">
        <w:t>3</w:t>
      </w:r>
      <w:r w:rsidR="003F63D3">
        <w:t>7</w:t>
      </w:r>
      <w:r>
        <w:t xml:space="preserve">] </w:t>
      </w:r>
    </w:p>
    <w:p w:rsidR="00EB1E1D" w:rsidRDefault="00EB1E1D" w:rsidP="00EB1E1D">
      <w:pPr>
        <w:pStyle w:val="ListParagraph"/>
        <w:tabs>
          <w:tab w:val="left" w:pos="1440"/>
        </w:tabs>
      </w:pPr>
    </w:p>
    <w:p w:rsidR="002642B9" w:rsidRDefault="00E60F05" w:rsidP="0017320E">
      <w:pPr>
        <w:pStyle w:val="ListParagraph"/>
        <w:numPr>
          <w:ilvl w:val="2"/>
          <w:numId w:val="3"/>
        </w:numPr>
      </w:pPr>
      <w:r>
        <w:t>During period of gas supply emergencies;</w:t>
      </w:r>
    </w:p>
    <w:p w:rsidR="00732EC4" w:rsidRDefault="00732EC4" w:rsidP="00732EC4">
      <w:pPr>
        <w:pStyle w:val="ListParagraph"/>
      </w:pPr>
    </w:p>
    <w:p w:rsidR="00732EC4" w:rsidRDefault="00E60F05" w:rsidP="0017320E">
      <w:pPr>
        <w:pStyle w:val="ListParagraph"/>
        <w:numPr>
          <w:ilvl w:val="2"/>
          <w:numId w:val="3"/>
        </w:numPr>
      </w:pPr>
      <w:r>
        <w:t>During period of gas curtailment; or</w:t>
      </w:r>
    </w:p>
    <w:p w:rsidR="00E60F05" w:rsidRDefault="00E60F05" w:rsidP="00E60F05">
      <w:pPr>
        <w:pStyle w:val="ListParagraph"/>
      </w:pPr>
    </w:p>
    <w:p w:rsidR="00E60F05" w:rsidRDefault="00E60F05" w:rsidP="0017320E">
      <w:pPr>
        <w:pStyle w:val="ListParagraph"/>
        <w:numPr>
          <w:ilvl w:val="2"/>
          <w:numId w:val="3"/>
        </w:numPr>
      </w:pPr>
      <w:r>
        <w:t>For periodic testing on liquid fuel not to exceed a combined total of 48 hours during any calendar year.</w:t>
      </w:r>
    </w:p>
    <w:p w:rsidR="00206ED0" w:rsidRDefault="00206ED0" w:rsidP="00537EBB">
      <w:pPr>
        <w:ind w:left="720" w:hanging="360"/>
      </w:pPr>
    </w:p>
    <w:p w:rsidR="00537EBB" w:rsidRDefault="00EB1E1D" w:rsidP="00537EBB">
      <w:pPr>
        <w:ind w:left="720" w:hanging="360"/>
      </w:pPr>
      <w:r>
        <w:t>f</w:t>
      </w:r>
      <w:r w:rsidR="00537EBB" w:rsidRPr="006243B7">
        <w:t>.</w:t>
      </w:r>
      <w:r w:rsidR="00537EBB">
        <w:tab/>
        <w:t xml:space="preserve">At all times, including periods of startup, shutdown, and malfunction, the owner or operator shall, to the extent practicable, maintain and operate each boiler in a manner </w:t>
      </w:r>
      <w:proofErr w:type="gramStart"/>
      <w:r w:rsidR="00537EBB">
        <w:t>consistent</w:t>
      </w:r>
      <w:proofErr w:type="gramEnd"/>
      <w:r w:rsidR="00537EBB">
        <w:t xml:space="preserve">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EB1E1D" w:rsidRDefault="001F561B" w:rsidP="00EB1E1D">
      <w:pPr>
        <w:tabs>
          <w:tab w:val="left" w:pos="-1440"/>
          <w:tab w:val="left" w:pos="1440"/>
        </w:tabs>
        <w:ind w:left="720" w:hanging="360"/>
      </w:pPr>
      <w:r w:rsidRPr="006243B7">
        <w:t>a.</w:t>
      </w:r>
      <w:r w:rsidRPr="006243B7">
        <w:tab/>
      </w:r>
      <w:r w:rsidR="00EB1E1D" w:rsidRPr="006243B7">
        <w:t xml:space="preserve">The </w:t>
      </w:r>
      <w:r w:rsidR="00EB1E1D">
        <w:t>Permittee</w:t>
      </w:r>
      <w:r w:rsidR="00EB1E1D" w:rsidRPr="006243B7">
        <w:t xml:space="preserve"> shall conduct and allow the Department access to conduct tests of air pollution emissions from any source as requested.  </w:t>
      </w:r>
      <w:r w:rsidR="00EB1E1D">
        <w:t>[</w:t>
      </w:r>
      <w:r w:rsidR="00EB1E1D" w:rsidRPr="006243B7">
        <w:t>20 DCMR 502.1</w:t>
      </w:r>
      <w:r w:rsidR="00EB1E1D">
        <w:t>]</w:t>
      </w:r>
    </w:p>
    <w:p w:rsidR="00EB1E1D" w:rsidRDefault="00EB1E1D" w:rsidP="00455569">
      <w:pPr>
        <w:tabs>
          <w:tab w:val="left" w:pos="-1440"/>
          <w:tab w:val="left" w:pos="1440"/>
        </w:tabs>
        <w:ind w:left="720" w:hanging="360"/>
      </w:pPr>
    </w:p>
    <w:p w:rsidR="00455569" w:rsidRDefault="00EB1E1D" w:rsidP="00455569">
      <w:pPr>
        <w:tabs>
          <w:tab w:val="left" w:pos="-1440"/>
          <w:tab w:val="left" w:pos="1440"/>
        </w:tabs>
        <w:ind w:left="720" w:hanging="360"/>
      </w:pPr>
      <w:r>
        <w:t>b.</w:t>
      </w:r>
      <w:r>
        <w:tab/>
      </w:r>
      <w:r w:rsidR="001F561B">
        <w:t>If performance tes</w:t>
      </w:r>
      <w:r w:rsidR="008A3475">
        <w:t>t</w:t>
      </w:r>
      <w:r w:rsidR="0061180D">
        <w:t xml:space="preserve">ing of any of these boilers is required in accordance with Condition </w:t>
      </w:r>
      <w:proofErr w:type="gramStart"/>
      <w:r w:rsidR="0061180D">
        <w:t>IV(</w:t>
      </w:r>
      <w:proofErr w:type="gramEnd"/>
      <w:r>
        <w:t>a</w:t>
      </w:r>
      <w:r w:rsidR="0061180D">
        <w:t>), the Permittee</w:t>
      </w:r>
      <w:r w:rsidR="00455569">
        <w:t xml:space="preserve"> shall conduct performance testing on the boilers</w:t>
      </w:r>
      <w:r w:rsidR="008A3475">
        <w:t xml:space="preserve"> to determine compliance with Condition II(a)</w:t>
      </w:r>
      <w:r w:rsidR="00455569">
        <w:t xml:space="preserve"> (except SO</w:t>
      </w:r>
      <w:r w:rsidR="00455569">
        <w:rPr>
          <w:vertAlign w:val="subscript"/>
        </w:rPr>
        <w:t>2</w:t>
      </w:r>
      <w:r w:rsidR="00455569">
        <w:t>)</w:t>
      </w:r>
      <w:r w:rsidR="008A3475">
        <w:t>, (b) and/or (c)</w:t>
      </w:r>
      <w:r w:rsidR="00455569">
        <w:t xml:space="preserve">  (or as otherwise directed by the Department) and shall furnish the Department with a written report of the results of such performance test in accordance with the following requirements [20 DCMR 502]:</w:t>
      </w:r>
    </w:p>
    <w:p w:rsidR="001F561B" w:rsidRDefault="001F561B" w:rsidP="001F561B">
      <w:pPr>
        <w:tabs>
          <w:tab w:val="left" w:pos="-1440"/>
          <w:tab w:val="left" w:pos="1440"/>
        </w:tabs>
        <w:ind w:left="720" w:hanging="360"/>
      </w:pPr>
    </w:p>
    <w:p w:rsidR="001F561B" w:rsidRDefault="001F561B" w:rsidP="001F561B">
      <w:pPr>
        <w:tabs>
          <w:tab w:val="left" w:pos="-1440"/>
          <w:tab w:val="left" w:pos="1440"/>
        </w:tabs>
        <w:ind w:left="1080" w:hanging="360"/>
      </w:pPr>
      <w:r>
        <w:t>1.</w:t>
      </w:r>
      <w:r>
        <w:tab/>
      </w:r>
      <w:r w:rsidRPr="00EF20BA">
        <w:t xml:space="preserve">One </w:t>
      </w:r>
      <w:r>
        <w:t xml:space="preserve">(1) </w:t>
      </w:r>
      <w:r w:rsidRPr="00EF20BA">
        <w:t>original test protocol shall be submitted to the following address a minimum of thirty (30) days in advance of the proposed test date. The test shall be conducted in accordance with Federal and District requirements.</w:t>
      </w:r>
    </w:p>
    <w:p w:rsidR="001F561B" w:rsidRDefault="001F561B" w:rsidP="001F561B">
      <w:pPr>
        <w:tabs>
          <w:tab w:val="left" w:pos="-1440"/>
          <w:tab w:val="left" w:pos="1800"/>
        </w:tabs>
        <w:ind w:left="1800" w:hanging="360"/>
      </w:pPr>
    </w:p>
    <w:p w:rsidR="001F561B" w:rsidRPr="00EF20BA" w:rsidRDefault="001F561B" w:rsidP="001F561B">
      <w:pPr>
        <w:tabs>
          <w:tab w:val="left" w:pos="-1440"/>
          <w:tab w:val="left" w:pos="-720"/>
        </w:tabs>
        <w:ind w:left="1080"/>
      </w:pPr>
      <w:r w:rsidRPr="00EF20BA">
        <w:t>Chief, Compliance and Enforcement Branch</w:t>
      </w:r>
    </w:p>
    <w:p w:rsidR="001F561B" w:rsidRDefault="001F561B" w:rsidP="001F561B">
      <w:pPr>
        <w:tabs>
          <w:tab w:val="left" w:pos="-1440"/>
          <w:tab w:val="left" w:pos="-720"/>
        </w:tabs>
        <w:ind w:left="1080"/>
      </w:pPr>
      <w:r>
        <w:t>Department of Energy and Environment</w:t>
      </w:r>
    </w:p>
    <w:p w:rsidR="001F561B" w:rsidRPr="00EF20BA" w:rsidRDefault="001F561B" w:rsidP="001F561B">
      <w:pPr>
        <w:tabs>
          <w:tab w:val="left" w:pos="-1440"/>
          <w:tab w:val="left" w:pos="-720"/>
        </w:tabs>
        <w:ind w:left="1080"/>
      </w:pPr>
      <w:r w:rsidRPr="00EF20BA">
        <w:t>Air Quality Division</w:t>
      </w:r>
    </w:p>
    <w:p w:rsidR="001F561B" w:rsidRPr="00EF20BA" w:rsidRDefault="001F561B" w:rsidP="001F561B">
      <w:pPr>
        <w:tabs>
          <w:tab w:val="left" w:pos="-1440"/>
          <w:tab w:val="left" w:pos="-720"/>
        </w:tabs>
        <w:ind w:left="1080"/>
      </w:pPr>
      <w:r w:rsidRPr="00EF20BA">
        <w:t>1200 First Street NE</w:t>
      </w:r>
      <w:r>
        <w:t xml:space="preserve">, </w:t>
      </w:r>
      <w:r w:rsidRPr="00EF20BA">
        <w:t>5</w:t>
      </w:r>
      <w:r w:rsidRPr="00EF20BA">
        <w:rPr>
          <w:vertAlign w:val="superscript"/>
        </w:rPr>
        <w:t>th</w:t>
      </w:r>
      <w:r w:rsidRPr="00EF20BA">
        <w:t xml:space="preserve"> Floor</w:t>
      </w:r>
    </w:p>
    <w:p w:rsidR="001F561B" w:rsidRPr="00EF20BA" w:rsidRDefault="001F561B" w:rsidP="001F561B">
      <w:pPr>
        <w:tabs>
          <w:tab w:val="left" w:pos="-1440"/>
          <w:tab w:val="left" w:pos="-720"/>
        </w:tabs>
        <w:ind w:left="1080"/>
      </w:pPr>
      <w:r w:rsidRPr="00EF20BA">
        <w:t>Washington DC 20002</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 xml:space="preserve">The test protocol </w:t>
      </w:r>
      <w:r w:rsidR="00B803F0">
        <w:t xml:space="preserve">and test date(s) </w:t>
      </w:r>
      <w:r>
        <w:t>shall be approved by the Department prior to initiating any testing</w:t>
      </w:r>
      <w:r w:rsidR="00B803F0">
        <w:t>.</w:t>
      </w:r>
      <w:r>
        <w:t xml:space="preserve">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lastRenderedPageBreak/>
        <w:t>3.</w:t>
      </w:r>
      <w:r>
        <w:tab/>
        <w:t xml:space="preserve">The final results of the testing shall be submitted to the Department within sixty (60) days of the test completion. One (1) original test report shall be submitted to the address in Condition </w:t>
      </w:r>
      <w:proofErr w:type="gramStart"/>
      <w:r>
        <w:t>IV(</w:t>
      </w:r>
      <w:proofErr w:type="gramEnd"/>
      <w:r>
        <w:t>a)(1)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054D46" w:rsidRDefault="00054D46" w:rsidP="00564065">
      <w:pPr>
        <w:ind w:left="1440" w:hanging="360"/>
      </w:pPr>
    </w:p>
    <w:p w:rsidR="00564065" w:rsidRDefault="00564065" w:rsidP="00564065">
      <w:pPr>
        <w:ind w:left="1440" w:hanging="360"/>
      </w:pPr>
      <w:r w:rsidRPr="00AD0B22">
        <w:t>D</w:t>
      </w:r>
      <w:r>
        <w:t>.</w:t>
      </w:r>
      <w:r>
        <w:tab/>
        <w:t xml:space="preserve">Statement of compliance or non-compliance with each </w:t>
      </w:r>
      <w:proofErr w:type="gramStart"/>
      <w:r>
        <w:t>permit</w:t>
      </w:r>
      <w:proofErr w:type="gramEnd"/>
      <w:r>
        <w:t xml:space="preserve">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w:t>
      </w:r>
      <w:r w:rsidR="00C74823">
        <w:t xml:space="preserve"> propose corrective action(s). </w:t>
      </w:r>
      <w:r>
        <w:t>Failure to demonstrate compliance through the test may result in enforcement action.</w:t>
      </w:r>
    </w:p>
    <w:p w:rsidR="009704C9" w:rsidRDefault="009704C9" w:rsidP="00BE4EC3">
      <w:pPr>
        <w:tabs>
          <w:tab w:val="left" w:pos="-1440"/>
          <w:tab w:val="left" w:pos="1440"/>
        </w:tabs>
        <w:ind w:left="720" w:hanging="360"/>
      </w:pPr>
    </w:p>
    <w:p w:rsidR="003C233D" w:rsidRDefault="00564065" w:rsidP="003C233D">
      <w:pPr>
        <w:tabs>
          <w:tab w:val="left" w:pos="-1440"/>
          <w:tab w:val="left" w:pos="1440"/>
        </w:tabs>
        <w:ind w:left="720" w:hanging="360"/>
      </w:pPr>
      <w:r>
        <w:t>c.</w:t>
      </w:r>
      <w:r>
        <w:tab/>
      </w:r>
      <w:r w:rsidR="00A8425C">
        <w:t>At least once per quarter when operating on natural gas and once per week when operating on No. 2 fuel oil,</w:t>
      </w:r>
      <w:r w:rsidR="009704C9">
        <w:t xml:space="preserve"> during operation of each boiler, the Permittee shall conduct visual observations of the emissions from each boiler. If no operations are occurring for a giv</w:t>
      </w:r>
      <w:r w:rsidR="00A8425C">
        <w:t>en boiler during a given week</w:t>
      </w:r>
      <w:r w:rsidR="009704C9">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w:t>
      </w:r>
      <w:r w:rsidR="00A8425C">
        <w:t xml:space="preserve"> and shall be performed while firing the same fuel as was in use when the visible emissions were observed</w:t>
      </w:r>
      <w:r w:rsidR="009704C9">
        <w:t>.</w:t>
      </w:r>
    </w:p>
    <w:p w:rsidR="00564065" w:rsidRDefault="00564065" w:rsidP="00564065">
      <w:pPr>
        <w:tabs>
          <w:tab w:val="left" w:pos="-1440"/>
          <w:tab w:val="left" w:pos="1440"/>
        </w:tabs>
        <w:ind w:left="1440" w:hanging="360"/>
      </w:pPr>
    </w:p>
    <w:p w:rsidR="009704C9" w:rsidRDefault="00564065" w:rsidP="009704C9">
      <w:pPr>
        <w:tabs>
          <w:tab w:val="left" w:pos="-1440"/>
          <w:tab w:val="left" w:pos="1440"/>
        </w:tabs>
        <w:ind w:left="720" w:hanging="360"/>
      </w:pPr>
      <w:r>
        <w:t>d.</w:t>
      </w:r>
      <w:r>
        <w:tab/>
      </w:r>
      <w:r w:rsidR="009704C9">
        <w:t>Regardless of whether or not emissions are observed pursuant to Condition IV(c) of this permit, the Permittee shall conduct a minimum of one visible emissions test of each boiler each year</w:t>
      </w:r>
      <w:r w:rsidR="006A52C2">
        <w:t xml:space="preserve"> for each fuel burned since the last visible emissions test required under this permit condition</w:t>
      </w:r>
      <w:r w:rsidR="009704C9">
        <w:t>.</w:t>
      </w:r>
      <w:r w:rsidR="006A52C2">
        <w:t xml:space="preserve"> If the only combustion of a given fuel burned since the last test </w:t>
      </w:r>
      <w:r w:rsidR="0097219D">
        <w:t xml:space="preserve">occurred </w:t>
      </w:r>
      <w:r w:rsidR="006A52C2">
        <w:t>during periodic testing required by this permit</w:t>
      </w:r>
      <w:r w:rsidR="0042395C">
        <w:t>,</w:t>
      </w:r>
      <w:r w:rsidR="009704C9">
        <w:t xml:space="preserve"> </w:t>
      </w:r>
      <w:r w:rsidR="0097219D">
        <w:t xml:space="preserve">no visible emission test for that fuel will be required under this condition. </w:t>
      </w:r>
      <w:r w:rsidR="009704C9">
        <w:t xml:space="preserve">Such a test program shall consist of a minimum of 30 minutes of opacity observations of </w:t>
      </w:r>
      <w:r w:rsidR="0097219D">
        <w:t xml:space="preserve">each </w:t>
      </w:r>
      <w:r w:rsidR="009704C9">
        <w:t xml:space="preserve">boiler </w:t>
      </w:r>
      <w:r w:rsidR="0097219D">
        <w:t xml:space="preserve">firing each fuel </w:t>
      </w:r>
      <w:r w:rsidR="009704C9">
        <w:t xml:space="preserve">and shall be performed by a </w:t>
      </w:r>
      <w:r w:rsidR="009704C9">
        <w:lastRenderedPageBreak/>
        <w:t>person certified in accordance with EPA Reference Method 9 (40 CFR 60, Appendix A)</w:t>
      </w:r>
      <w:r w:rsidR="0097219D">
        <w:t xml:space="preserve"> [20 DCMR 502.1]</w:t>
      </w:r>
      <w:r w:rsidR="009704C9">
        <w:t xml:space="preserve">.  </w:t>
      </w:r>
    </w:p>
    <w:p w:rsidR="00206ED0" w:rsidRDefault="00206ED0"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each test, monitoring, sample measurement, report, application, or other activity: [</w:t>
      </w:r>
      <w:r w:rsidR="00EB1E1D">
        <w:t>20 DCMR 302.1(c)(2)(B)</w:t>
      </w:r>
      <w:r w:rsidR="00EB1E1D">
        <w:t>,</w:t>
      </w:r>
      <w:r w:rsidR="00EB1E1D">
        <w:t xml:space="preserve"> </w:t>
      </w:r>
      <w:r w:rsidR="00F03133">
        <w:t xml:space="preserve">20 DCMR </w:t>
      </w:r>
      <w:r w:rsidR="00731447">
        <w:t xml:space="preserve">500.2 and </w:t>
      </w:r>
      <w:r w:rsidR="00F03133">
        <w:t>500.8</w:t>
      </w:r>
      <w:r w:rsidR="00EB1E1D">
        <w:t>,</w:t>
      </w:r>
      <w:r w:rsidR="00E55CA2">
        <w:t xml:space="preserve"> and 40 CFR 63.10(b)</w:t>
      </w:r>
      <w:r w:rsidR="00F03133">
        <w:t>]</w:t>
      </w:r>
    </w:p>
    <w:p w:rsidR="00850C80" w:rsidRPr="006243B7" w:rsidRDefault="00850C80"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 xml:space="preserve">boiler pursuant to Conditions </w:t>
      </w:r>
      <w:proofErr w:type="gramStart"/>
      <w:r>
        <w:t>IV(</w:t>
      </w:r>
      <w:proofErr w:type="gramEnd"/>
      <w:r>
        <w:t>a)</w:t>
      </w:r>
      <w:r w:rsidR="007011CB">
        <w:t xml:space="preserve"> and</w:t>
      </w:r>
      <w:r w:rsidR="00E84BAF">
        <w:t xml:space="preserve"> </w:t>
      </w:r>
      <w:r w:rsidR="007011CB">
        <w:t>(</w:t>
      </w:r>
      <w:r w:rsidR="00B803F0">
        <w:t>b</w:t>
      </w:r>
      <w:r w:rsidR="007011CB">
        <w:t>)</w:t>
      </w:r>
      <w:r>
        <w:t xml:space="preserve"> of this permit</w:t>
      </w:r>
      <w:r w:rsidR="008D01B0">
        <w:t>;</w:t>
      </w:r>
    </w:p>
    <w:p w:rsidR="001E53BF" w:rsidRPr="00C420D7" w:rsidRDefault="001E53BF" w:rsidP="001E53BF">
      <w:pPr>
        <w:tabs>
          <w:tab w:val="left" w:pos="-1440"/>
          <w:tab w:val="left" w:pos="1440"/>
        </w:tabs>
        <w:ind w:left="720" w:hanging="360"/>
      </w:pPr>
    </w:p>
    <w:p w:rsidR="001E53BF" w:rsidRDefault="001E53BF" w:rsidP="001E53BF">
      <w:pPr>
        <w:tabs>
          <w:tab w:val="left" w:pos="-1440"/>
          <w:tab w:val="left" w:pos="1440"/>
        </w:tabs>
        <w:ind w:left="720" w:hanging="360"/>
      </w:pPr>
      <w:r w:rsidRPr="00C420D7">
        <w:t>b.</w:t>
      </w:r>
      <w:r w:rsidRPr="00C420D7">
        <w:tab/>
      </w:r>
      <w:r>
        <w:t xml:space="preserve">For each delivery of No. 2 fuel oil or diesel fuel, the </w:t>
      </w:r>
      <w:r w:rsidR="00EB1E1D">
        <w:t>Permittee</w:t>
      </w:r>
      <w:r>
        <w:t xml:space="preserve"> shall maintain one of the following:</w:t>
      </w:r>
    </w:p>
    <w:p w:rsidR="001E53BF" w:rsidRDefault="001E53BF" w:rsidP="001E53BF">
      <w:pPr>
        <w:tabs>
          <w:tab w:val="left" w:pos="-1440"/>
          <w:tab w:val="left" w:pos="1440"/>
        </w:tabs>
        <w:ind w:left="720" w:hanging="360"/>
      </w:pPr>
    </w:p>
    <w:p w:rsidR="001E53BF" w:rsidRDefault="001E53BF" w:rsidP="001E53BF">
      <w:pPr>
        <w:tabs>
          <w:tab w:val="left" w:pos="-1440"/>
          <w:tab w:val="left" w:pos="1080"/>
        </w:tabs>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 (a); or</w:t>
      </w:r>
    </w:p>
    <w:p w:rsidR="001E53BF" w:rsidRDefault="001E53BF" w:rsidP="001E53BF">
      <w:pPr>
        <w:tabs>
          <w:tab w:val="left" w:pos="-1440"/>
          <w:tab w:val="left" w:pos="1080"/>
        </w:tabs>
        <w:ind w:left="1080" w:hanging="360"/>
      </w:pPr>
    </w:p>
    <w:p w:rsidR="001E53BF" w:rsidRDefault="001E53BF" w:rsidP="001E53BF">
      <w:pPr>
        <w:tabs>
          <w:tab w:val="left" w:pos="-1440"/>
          <w:tab w:val="left" w:pos="1080"/>
        </w:tabs>
        <w:ind w:left="1080" w:hanging="360"/>
      </w:pPr>
      <w:r>
        <w:t>2.</w:t>
      </w:r>
      <w:r>
        <w:tab/>
        <w:t>A fuel delivery receipt and documentation of sampling and analysis containing the following information:</w:t>
      </w:r>
    </w:p>
    <w:p w:rsidR="001E53BF" w:rsidRDefault="001E53BF" w:rsidP="001E53BF">
      <w:pPr>
        <w:tabs>
          <w:tab w:val="left" w:pos="-1440"/>
          <w:tab w:val="left" w:pos="1080"/>
        </w:tabs>
        <w:ind w:left="1080" w:hanging="360"/>
      </w:pPr>
    </w:p>
    <w:p w:rsidR="001E53BF" w:rsidRDefault="001E53BF" w:rsidP="001E53BF">
      <w:pPr>
        <w:tabs>
          <w:tab w:val="left" w:pos="-1440"/>
          <w:tab w:val="left" w:pos="1080"/>
        </w:tabs>
        <w:ind w:left="1080" w:hanging="360"/>
      </w:pPr>
      <w:r>
        <w:tab/>
        <w:t>A.</w:t>
      </w:r>
      <w:r>
        <w:tab/>
        <w:t>The fuel oil type;</w:t>
      </w:r>
    </w:p>
    <w:p w:rsidR="00EB1E1D" w:rsidRDefault="00EB1E1D" w:rsidP="001E53BF">
      <w:pPr>
        <w:tabs>
          <w:tab w:val="left" w:pos="-1440"/>
          <w:tab w:val="left" w:pos="1080"/>
        </w:tabs>
        <w:ind w:left="1080" w:hanging="360"/>
      </w:pPr>
    </w:p>
    <w:p w:rsidR="001E53BF" w:rsidRDefault="001E53BF" w:rsidP="001E53BF">
      <w:pPr>
        <w:tabs>
          <w:tab w:val="left" w:pos="-1440"/>
          <w:tab w:val="left" w:pos="1080"/>
        </w:tabs>
        <w:ind w:left="1080" w:hanging="360"/>
      </w:pPr>
      <w:r>
        <w:tab/>
        <w:t>B.</w:t>
      </w:r>
      <w:r>
        <w:tab/>
        <w:t>The concentration or weight percent of sulfur in the fuel;</w:t>
      </w:r>
    </w:p>
    <w:p w:rsidR="00EB1E1D" w:rsidRDefault="00EB1E1D" w:rsidP="001E53BF">
      <w:pPr>
        <w:tabs>
          <w:tab w:val="left" w:pos="-1440"/>
          <w:tab w:val="left" w:pos="1080"/>
        </w:tabs>
        <w:ind w:left="1080" w:hanging="360"/>
      </w:pPr>
    </w:p>
    <w:p w:rsidR="001E53BF" w:rsidRDefault="001E53BF" w:rsidP="001E53BF">
      <w:pPr>
        <w:tabs>
          <w:tab w:val="left" w:pos="-1440"/>
          <w:tab w:val="left" w:pos="1080"/>
        </w:tabs>
        <w:ind w:left="1080" w:hanging="360"/>
      </w:pPr>
      <w:r>
        <w:tab/>
        <w:t>C.</w:t>
      </w:r>
      <w:r>
        <w:tab/>
        <w:t>The date and time the sample was taken;</w:t>
      </w:r>
    </w:p>
    <w:p w:rsidR="00EB1E1D" w:rsidRDefault="00EB1E1D" w:rsidP="001E53BF">
      <w:pPr>
        <w:tabs>
          <w:tab w:val="left" w:pos="-1440"/>
          <w:tab w:val="left" w:pos="1080"/>
        </w:tabs>
        <w:ind w:left="1080" w:hanging="360"/>
      </w:pPr>
    </w:p>
    <w:p w:rsidR="003B44DF" w:rsidRDefault="003D62B7" w:rsidP="003B44DF">
      <w:pPr>
        <w:tabs>
          <w:tab w:val="left" w:pos="-1440"/>
          <w:tab w:val="left" w:pos="1440"/>
        </w:tabs>
        <w:ind w:left="1080" w:hanging="360"/>
      </w:pPr>
      <w:r>
        <w:tab/>
        <w:t>D.</w:t>
      </w:r>
      <w:r>
        <w:tab/>
      </w:r>
      <w:r w:rsidR="001E53BF">
        <w:t>The name, address, and telephone number of the laboratory that analyzed the</w:t>
      </w:r>
    </w:p>
    <w:p w:rsidR="00EB1E1D" w:rsidRDefault="003B44DF" w:rsidP="003B44DF">
      <w:pPr>
        <w:tabs>
          <w:tab w:val="left" w:pos="-1440"/>
          <w:tab w:val="left" w:pos="1440"/>
        </w:tabs>
        <w:ind w:left="1080" w:hanging="360"/>
      </w:pPr>
      <w:r>
        <w:tab/>
      </w:r>
      <w:r>
        <w:tab/>
      </w:r>
      <w:r w:rsidR="003D62B7">
        <w:t>Sample; and</w:t>
      </w:r>
    </w:p>
    <w:p w:rsidR="001E53BF" w:rsidRDefault="003B44DF" w:rsidP="003B44DF">
      <w:pPr>
        <w:tabs>
          <w:tab w:val="left" w:pos="-1440"/>
          <w:tab w:val="left" w:pos="1440"/>
        </w:tabs>
        <w:ind w:left="1080" w:hanging="360"/>
      </w:pPr>
      <w:r>
        <w:t xml:space="preserve">               </w:t>
      </w:r>
    </w:p>
    <w:p w:rsidR="001E53BF" w:rsidRDefault="001E53BF" w:rsidP="001E53BF">
      <w:pPr>
        <w:tabs>
          <w:tab w:val="left" w:pos="-1440"/>
          <w:tab w:val="left" w:pos="1080"/>
        </w:tabs>
        <w:ind w:left="1080"/>
      </w:pPr>
      <w:r>
        <w:t>E.</w:t>
      </w:r>
      <w:r>
        <w:tab/>
        <w:t>The test method used to determine the sulfur content.</w:t>
      </w:r>
    </w:p>
    <w:p w:rsidR="003B44DF" w:rsidRDefault="003B44DF" w:rsidP="001E53BF">
      <w:pPr>
        <w:tabs>
          <w:tab w:val="left" w:pos="-1440"/>
          <w:tab w:val="left" w:pos="1440"/>
        </w:tabs>
        <w:ind w:left="720" w:hanging="360"/>
      </w:pPr>
    </w:p>
    <w:p w:rsidR="001E53BF" w:rsidRPr="00C420D7" w:rsidRDefault="003B44DF" w:rsidP="001E53BF">
      <w:pPr>
        <w:tabs>
          <w:tab w:val="left" w:pos="-1440"/>
          <w:tab w:val="left" w:pos="1440"/>
        </w:tabs>
        <w:ind w:left="720" w:hanging="360"/>
      </w:pPr>
      <w:r>
        <w:t>c</w:t>
      </w:r>
      <w:r w:rsidR="001E53BF" w:rsidRPr="00C420D7">
        <w:t>.</w:t>
      </w:r>
      <w:r w:rsidR="001E53BF" w:rsidRPr="00C420D7">
        <w:tab/>
        <w:t>The Permittee shall maintain records of the</w:t>
      </w:r>
      <w:r w:rsidR="00EB1E1D">
        <w:t xml:space="preserve"> dates and durations of each use of No. 2 fuel oil in each boiler each month. For each instance of No. 2 fuel oil use, a reason for such operation shall be listed in the records</w:t>
      </w:r>
      <w:r w:rsidR="001E53BF" w:rsidRPr="00C420D7">
        <w:t xml:space="preserve"> </w:t>
      </w:r>
      <w:r w:rsidR="00EB1E1D">
        <w:t xml:space="preserve">to document compliance with Condition </w:t>
      </w:r>
      <w:proofErr w:type="gramStart"/>
      <w:r w:rsidR="00EB1E1D">
        <w:t>III(</w:t>
      </w:r>
      <w:proofErr w:type="gramEnd"/>
      <w:r w:rsidR="00EB1E1D">
        <w:t xml:space="preserve">e). </w:t>
      </w:r>
      <w:r w:rsidR="001E53BF" w:rsidRPr="00C420D7">
        <w:t>[20 DCMR 500.2]</w:t>
      </w:r>
    </w:p>
    <w:p w:rsidR="00E55CA2" w:rsidRDefault="00E55CA2" w:rsidP="0016428A">
      <w:pPr>
        <w:tabs>
          <w:tab w:val="left" w:pos="-1440"/>
          <w:tab w:val="left" w:pos="1440"/>
        </w:tabs>
        <w:ind w:left="720" w:hanging="450"/>
      </w:pPr>
    </w:p>
    <w:p w:rsidR="00FA7656" w:rsidRDefault="009B4108" w:rsidP="004E2D6A">
      <w:pPr>
        <w:ind w:left="720" w:hanging="720"/>
      </w:pPr>
      <w:r>
        <w:t xml:space="preserve">      </w:t>
      </w:r>
      <w:r w:rsidR="003D62B7">
        <w:t>d</w:t>
      </w:r>
      <w:r>
        <w:t xml:space="preserve">. </w:t>
      </w:r>
      <w:r>
        <w:tab/>
      </w:r>
      <w:r w:rsidR="00FA7656">
        <w:t>The Permittee shall maintain records of the amount of each fuel type used each month in the boilers. These data shall be maintained in a rolling 12-month sum format. [20 DCMR 500.2]</w:t>
      </w:r>
    </w:p>
    <w:p w:rsidR="00E55CA2" w:rsidRDefault="00E55CA2" w:rsidP="00564065">
      <w:pPr>
        <w:tabs>
          <w:tab w:val="left" w:pos="-1440"/>
          <w:tab w:val="left" w:pos="1440"/>
        </w:tabs>
        <w:ind w:left="720" w:hanging="360"/>
      </w:pPr>
    </w:p>
    <w:p w:rsidR="00564065" w:rsidRDefault="00F93351" w:rsidP="00564065">
      <w:pPr>
        <w:tabs>
          <w:tab w:val="left" w:pos="-1440"/>
          <w:tab w:val="left" w:pos="1440"/>
        </w:tabs>
        <w:ind w:left="720" w:hanging="360"/>
      </w:pPr>
      <w:r>
        <w:lastRenderedPageBreak/>
        <w:t>e</w:t>
      </w:r>
      <w:r w:rsidR="00564065">
        <w:t>.</w:t>
      </w:r>
      <w:r w:rsidR="00564065">
        <w:tab/>
        <w:t>The Permittee shall maintain records of all visible emissions monitoring perf</w:t>
      </w:r>
      <w:r w:rsidR="008D01B0">
        <w:t>ormed pursuant to Condition IV(c</w:t>
      </w:r>
      <w:r w:rsidR="00564065">
        <w:t xml:space="preserve">), including notes indicating when no observations were performed as a result of </w:t>
      </w:r>
      <w:proofErr w:type="gramStart"/>
      <w:r w:rsidR="00564065">
        <w:t>no</w:t>
      </w:r>
      <w:proofErr w:type="gramEnd"/>
      <w:r w:rsidR="00564065">
        <w:t xml:space="preserve"> operations of </w:t>
      </w:r>
      <w:r w:rsidR="004E2D6A">
        <w:t>a given</w:t>
      </w:r>
      <w:r w:rsidR="00564065">
        <w:t xml:space="preserve"> boiler </w:t>
      </w:r>
      <w:r w:rsidR="004E2D6A">
        <w:t xml:space="preserve">on a given fuel </w:t>
      </w:r>
      <w:r w:rsidR="00564065">
        <w:t xml:space="preserve">that </w:t>
      </w:r>
      <w:r w:rsidR="00B803F0">
        <w:t>quarter</w:t>
      </w:r>
      <w:r w:rsidR="004E2D6A">
        <w:t xml:space="preserve"> or week, as applicable.</w:t>
      </w:r>
      <w:r w:rsidR="00564065">
        <w:t xml:space="preserve"> These records shall be maintained in an organized fashion, shall include the identity of the person performing the monitoring, and shall be readily available</w:t>
      </w:r>
      <w:r w:rsidR="008D01B0">
        <w:t xml:space="preserve"> for inspection by the </w:t>
      </w:r>
      <w:r w:rsidR="00075F29">
        <w:t>Departmen</w:t>
      </w:r>
      <w:r w:rsidR="008D01B0">
        <w:t>t;</w:t>
      </w:r>
    </w:p>
    <w:p w:rsidR="00DE2E87" w:rsidRDefault="00DE2E87" w:rsidP="00564065">
      <w:pPr>
        <w:tabs>
          <w:tab w:val="left" w:pos="-1440"/>
          <w:tab w:val="left" w:pos="1440"/>
        </w:tabs>
        <w:ind w:left="720" w:hanging="360"/>
      </w:pPr>
    </w:p>
    <w:p w:rsidR="00564065" w:rsidRDefault="00AC02A5" w:rsidP="00564065">
      <w:pPr>
        <w:tabs>
          <w:tab w:val="left" w:pos="-1440"/>
          <w:tab w:val="left" w:pos="1440"/>
        </w:tabs>
        <w:ind w:left="720" w:hanging="360"/>
      </w:pPr>
      <w:r>
        <w:t>f</w:t>
      </w:r>
      <w:r w:rsidR="00564065">
        <w:t>.</w:t>
      </w:r>
      <w:r w:rsidR="00564065">
        <w:tab/>
        <w:t>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t>
      </w:r>
      <w:r w:rsidR="00EB1E1D">
        <w:t>w compliance with Condition II(c</w:t>
      </w:r>
      <w:r w:rsidR="00564065">
        <w:t>)</w:t>
      </w:r>
      <w:r w:rsidR="008D01B0">
        <w:t>;</w:t>
      </w:r>
    </w:p>
    <w:p w:rsidR="00B12C2D" w:rsidRDefault="00B12C2D" w:rsidP="005D1377">
      <w:pPr>
        <w:tabs>
          <w:tab w:val="left" w:pos="1440"/>
        </w:tabs>
        <w:ind w:left="720" w:hanging="360"/>
      </w:pPr>
    </w:p>
    <w:p w:rsidR="00394F7B" w:rsidRPr="004136E1" w:rsidRDefault="00AC02A5" w:rsidP="00EB1E1D">
      <w:pPr>
        <w:tabs>
          <w:tab w:val="left" w:pos="1440"/>
        </w:tabs>
        <w:ind w:left="720" w:hanging="360"/>
      </w:pPr>
      <w:r>
        <w:t>g</w:t>
      </w:r>
      <w:r w:rsidR="005D1377" w:rsidRPr="00C420D7">
        <w:t>.</w:t>
      </w:r>
      <w:r w:rsidR="005D1377" w:rsidRPr="00C420D7">
        <w:tab/>
      </w:r>
      <w:r w:rsidR="00394F7B" w:rsidRPr="004136E1">
        <w:t xml:space="preserve">Maintain onsite </w:t>
      </w:r>
      <w:r w:rsidR="00394F7B">
        <w:t>in a logbook (with each item initialed by the person verifying its accuracy) or a verifiable electronic system whose information can be certified as to its accuracy</w:t>
      </w:r>
      <w:r w:rsidR="00EB1E1D">
        <w:t>, r</w:t>
      </w:r>
      <w:r w:rsidR="00394F7B">
        <w:t>ecords of all routine and non-routine maintenance performed on the boilers. The records shall include a description of the maintenance activity, any problem being corrected or other reason for the maintenance activity, and a statement indicating whether or not the problem was corrected; and</w:t>
      </w:r>
    </w:p>
    <w:p w:rsidR="005D1377" w:rsidRPr="00C420D7" w:rsidRDefault="005D1377" w:rsidP="005D1377">
      <w:pPr>
        <w:tabs>
          <w:tab w:val="left" w:pos="1800"/>
        </w:tabs>
        <w:ind w:left="1080" w:hanging="360"/>
      </w:pPr>
    </w:p>
    <w:p w:rsidR="0099078F" w:rsidRDefault="0099078F" w:rsidP="0099078F">
      <w:pPr>
        <w:tabs>
          <w:tab w:val="left" w:pos="-1440"/>
          <w:tab w:val="left" w:pos="1440"/>
        </w:tabs>
        <w:ind w:left="720" w:hanging="360"/>
      </w:pPr>
      <w:r>
        <w:t>h.</w:t>
      </w:r>
      <w:r>
        <w:tab/>
        <w:t xml:space="preserve">The Permittee shall keep records of the following information regarding the combustion adjustments required pursuant to Condition </w:t>
      </w:r>
      <w:proofErr w:type="gramStart"/>
      <w:r>
        <w:t>II(</w:t>
      </w:r>
      <w:proofErr w:type="gramEnd"/>
      <w:r w:rsidR="003E1014">
        <w:t>f</w:t>
      </w:r>
      <w:bookmarkStart w:id="0" w:name="_GoBack"/>
      <w:bookmarkEnd w:id="0"/>
      <w:r>
        <w:t>): [20 DCMR 805.8(c)]</w:t>
      </w:r>
    </w:p>
    <w:p w:rsidR="0099078F" w:rsidRDefault="0099078F" w:rsidP="0099078F">
      <w:pPr>
        <w:tabs>
          <w:tab w:val="left" w:pos="-1440"/>
          <w:tab w:val="left" w:pos="1440"/>
        </w:tabs>
        <w:ind w:left="720" w:hanging="360"/>
      </w:pPr>
    </w:p>
    <w:p w:rsidR="0099078F" w:rsidRDefault="0099078F" w:rsidP="0099078F">
      <w:pPr>
        <w:tabs>
          <w:tab w:val="left" w:pos="-1440"/>
          <w:tab w:val="left" w:pos="1440"/>
        </w:tabs>
        <w:ind w:left="1080" w:hanging="360"/>
      </w:pPr>
      <w:r>
        <w:t>1.</w:t>
      </w:r>
      <w:r>
        <w:tab/>
        <w:t>The date on which the combustion process was last adjusted;</w:t>
      </w:r>
    </w:p>
    <w:p w:rsidR="0099078F" w:rsidRDefault="0099078F" w:rsidP="0099078F">
      <w:pPr>
        <w:tabs>
          <w:tab w:val="left" w:pos="-1440"/>
          <w:tab w:val="left" w:pos="1440"/>
        </w:tabs>
        <w:ind w:left="1080" w:hanging="360"/>
      </w:pPr>
    </w:p>
    <w:p w:rsidR="0099078F" w:rsidRDefault="0099078F" w:rsidP="0099078F">
      <w:pPr>
        <w:tabs>
          <w:tab w:val="left" w:pos="-1440"/>
          <w:tab w:val="left" w:pos="1440"/>
        </w:tabs>
        <w:ind w:left="1080" w:hanging="360"/>
      </w:pPr>
      <w:r>
        <w:t>2.</w:t>
      </w:r>
      <w:r>
        <w:tab/>
        <w:t>The name, title, and affiliation of the person who made the adjustments;</w:t>
      </w:r>
    </w:p>
    <w:p w:rsidR="0099078F" w:rsidRDefault="0099078F" w:rsidP="0099078F">
      <w:pPr>
        <w:tabs>
          <w:tab w:val="left" w:pos="-1440"/>
          <w:tab w:val="left" w:pos="1440"/>
        </w:tabs>
        <w:ind w:left="1080" w:hanging="360"/>
      </w:pPr>
    </w:p>
    <w:p w:rsidR="0099078F" w:rsidRDefault="0099078F" w:rsidP="0099078F">
      <w:pPr>
        <w:tabs>
          <w:tab w:val="left" w:pos="-1440"/>
          <w:tab w:val="left" w:pos="1440"/>
        </w:tabs>
        <w:ind w:left="1080" w:hanging="360"/>
      </w:pPr>
      <w:r>
        <w:t>3.</w:t>
      </w:r>
      <w:r>
        <w:tab/>
        <w:t xml:space="preserve">The NOx emission rate, in </w:t>
      </w:r>
      <w:proofErr w:type="spellStart"/>
      <w:r>
        <w:t>ppmvd</w:t>
      </w:r>
      <w:proofErr w:type="spellEnd"/>
      <w:r>
        <w:t>, after the adjustments were made;</w:t>
      </w:r>
    </w:p>
    <w:p w:rsidR="0099078F" w:rsidRDefault="0099078F" w:rsidP="0099078F">
      <w:pPr>
        <w:tabs>
          <w:tab w:val="left" w:pos="-1440"/>
          <w:tab w:val="left" w:pos="1440"/>
        </w:tabs>
        <w:ind w:left="1080" w:hanging="360"/>
      </w:pPr>
    </w:p>
    <w:p w:rsidR="0099078F" w:rsidRDefault="0099078F" w:rsidP="0099078F">
      <w:pPr>
        <w:tabs>
          <w:tab w:val="left" w:pos="-1440"/>
          <w:tab w:val="left" w:pos="1440"/>
        </w:tabs>
        <w:ind w:left="1080" w:hanging="360"/>
      </w:pPr>
      <w:r>
        <w:t>4.</w:t>
      </w:r>
      <w:r>
        <w:tab/>
        <w:t xml:space="preserve">The CO emission rate, in </w:t>
      </w:r>
      <w:proofErr w:type="spellStart"/>
      <w:r>
        <w:t>ppmvd</w:t>
      </w:r>
      <w:proofErr w:type="spellEnd"/>
      <w:r>
        <w:t>, after the adjustments were made;</w:t>
      </w:r>
    </w:p>
    <w:p w:rsidR="0099078F" w:rsidRDefault="0099078F" w:rsidP="0099078F">
      <w:pPr>
        <w:tabs>
          <w:tab w:val="left" w:pos="-1440"/>
          <w:tab w:val="left" w:pos="1440"/>
        </w:tabs>
        <w:ind w:left="1080" w:hanging="360"/>
      </w:pPr>
    </w:p>
    <w:p w:rsidR="0099078F" w:rsidRDefault="0099078F" w:rsidP="0099078F">
      <w:pPr>
        <w:tabs>
          <w:tab w:val="left" w:pos="-1440"/>
          <w:tab w:val="left" w:pos="1440"/>
        </w:tabs>
        <w:ind w:left="1080" w:hanging="360"/>
      </w:pPr>
      <w:r>
        <w:t>5.</w:t>
      </w:r>
      <w:r>
        <w:tab/>
        <w:t>The CO2 concentration, in percent (%) by volume dry basis, after the adjustments were made;</w:t>
      </w:r>
    </w:p>
    <w:p w:rsidR="0099078F" w:rsidRDefault="0099078F" w:rsidP="0099078F">
      <w:pPr>
        <w:tabs>
          <w:tab w:val="left" w:pos="-1440"/>
          <w:tab w:val="left" w:pos="1440"/>
        </w:tabs>
        <w:ind w:left="1080" w:hanging="360"/>
      </w:pPr>
    </w:p>
    <w:p w:rsidR="0099078F" w:rsidRDefault="0099078F" w:rsidP="0099078F">
      <w:pPr>
        <w:tabs>
          <w:tab w:val="left" w:pos="-1440"/>
          <w:tab w:val="left" w:pos="1440"/>
        </w:tabs>
        <w:ind w:left="1080" w:hanging="360"/>
      </w:pPr>
      <w:r>
        <w:t>6.</w:t>
      </w:r>
      <w:r>
        <w:tab/>
        <w:t>The O2 concentration, in percent (%) by volume dry basis, after the adjustments were made; and</w:t>
      </w:r>
    </w:p>
    <w:p w:rsidR="0099078F" w:rsidRDefault="0099078F" w:rsidP="0099078F">
      <w:pPr>
        <w:tabs>
          <w:tab w:val="left" w:pos="-1440"/>
          <w:tab w:val="left" w:pos="1440"/>
        </w:tabs>
        <w:ind w:left="1080" w:hanging="360"/>
      </w:pPr>
    </w:p>
    <w:p w:rsidR="0099078F" w:rsidRDefault="0099078F" w:rsidP="0099078F">
      <w:pPr>
        <w:tabs>
          <w:tab w:val="left" w:pos="-1440"/>
          <w:tab w:val="left" w:pos="1440"/>
        </w:tabs>
        <w:ind w:left="1080" w:hanging="360"/>
      </w:pPr>
      <w:r>
        <w:t>7.</w:t>
      </w:r>
      <w:r>
        <w:tab/>
        <w:t xml:space="preserve">Any other information that the Department may require; </w:t>
      </w:r>
    </w:p>
    <w:p w:rsidR="0099078F" w:rsidRDefault="0099078F" w:rsidP="0099078F">
      <w:pPr>
        <w:tabs>
          <w:tab w:val="left" w:pos="-1440"/>
          <w:tab w:val="left" w:pos="1440"/>
        </w:tabs>
        <w:ind w:left="720" w:hanging="360"/>
      </w:pPr>
    </w:p>
    <w:p w:rsidR="00BD49CF" w:rsidRDefault="00BD49CF" w:rsidP="0099078F">
      <w:pPr>
        <w:tabs>
          <w:tab w:val="left" w:pos="-1440"/>
          <w:tab w:val="left" w:pos="1440"/>
        </w:tabs>
        <w:ind w:left="720" w:hanging="360"/>
      </w:pPr>
    </w:p>
    <w:p w:rsidR="00BD49CF" w:rsidRDefault="00BD49CF" w:rsidP="0099078F">
      <w:pPr>
        <w:tabs>
          <w:tab w:val="left" w:pos="-1440"/>
          <w:tab w:val="left" w:pos="1440"/>
        </w:tabs>
        <w:ind w:left="720" w:hanging="360"/>
      </w:pPr>
    </w:p>
    <w:p w:rsidR="00BD49CF" w:rsidRDefault="00BD49CF" w:rsidP="0099078F">
      <w:pPr>
        <w:tabs>
          <w:tab w:val="left" w:pos="-1440"/>
          <w:tab w:val="left" w:pos="1440"/>
        </w:tabs>
        <w:ind w:left="720" w:hanging="360"/>
      </w:pPr>
    </w:p>
    <w:p w:rsidR="00BD49CF" w:rsidRDefault="00BD49CF" w:rsidP="0099078F">
      <w:pPr>
        <w:tabs>
          <w:tab w:val="left" w:pos="-1440"/>
          <w:tab w:val="left" w:pos="1440"/>
        </w:tabs>
        <w:ind w:left="720" w:hanging="360"/>
      </w:pPr>
    </w:p>
    <w:p w:rsidR="0099078F" w:rsidRDefault="00FA7492" w:rsidP="0099078F">
      <w:pPr>
        <w:tabs>
          <w:tab w:val="left" w:pos="-1440"/>
          <w:tab w:val="left" w:pos="1440"/>
        </w:tabs>
        <w:ind w:left="720" w:hanging="360"/>
      </w:pPr>
      <w:r>
        <w:lastRenderedPageBreak/>
        <w:t>i</w:t>
      </w:r>
      <w:r w:rsidR="0099078F">
        <w:t>.</w:t>
      </w:r>
      <w:r w:rsidR="0099078F">
        <w:tab/>
        <w:t>Based on fuel usage data and emission factors developed from emission testing or other emission factors approved by the Department, the Permittee shall, by March 1 of each year, calculate total emissions of the pollutants listed below from the boilers during the previous calendar year for each fuel used:</w:t>
      </w:r>
    </w:p>
    <w:p w:rsidR="0099078F" w:rsidRDefault="0099078F" w:rsidP="0099078F">
      <w:pPr>
        <w:tabs>
          <w:tab w:val="left" w:pos="-1440"/>
          <w:tab w:val="left" w:pos="1440"/>
        </w:tabs>
        <w:ind w:left="900" w:hanging="540"/>
      </w:pPr>
    </w:p>
    <w:p w:rsidR="0099078F" w:rsidRDefault="0099078F" w:rsidP="0099078F">
      <w:pPr>
        <w:tabs>
          <w:tab w:val="left" w:pos="1080"/>
        </w:tabs>
        <w:ind w:left="2160" w:hanging="1440"/>
        <w:outlineLvl w:val="5"/>
      </w:pPr>
      <w:r>
        <w:t>1.</w:t>
      </w:r>
      <w:r>
        <w:rPr>
          <w:u w:val="words"/>
        </w:rPr>
        <w:tab/>
      </w:r>
      <w:r>
        <w:t>Oxides of nitrogen (NO</w:t>
      </w:r>
      <w:r>
        <w:rPr>
          <w:vertAlign w:val="subscript"/>
        </w:rPr>
        <w:t>x</w:t>
      </w:r>
      <w:r>
        <w:t>);</w:t>
      </w:r>
    </w:p>
    <w:p w:rsidR="0099078F" w:rsidRDefault="0099078F" w:rsidP="0099078F">
      <w:pPr>
        <w:tabs>
          <w:tab w:val="left" w:pos="1080"/>
        </w:tabs>
        <w:ind w:hanging="1440"/>
      </w:pPr>
    </w:p>
    <w:p w:rsidR="0099078F" w:rsidRDefault="0099078F" w:rsidP="0099078F">
      <w:pPr>
        <w:tabs>
          <w:tab w:val="left" w:pos="1080"/>
        </w:tabs>
        <w:ind w:left="2160" w:hanging="1440"/>
        <w:outlineLvl w:val="5"/>
      </w:pPr>
      <w:r>
        <w:t>2.</w:t>
      </w:r>
      <w:r>
        <w:rPr>
          <w:u w:val="words"/>
        </w:rPr>
        <w:tab/>
      </w:r>
      <w:r>
        <w:t>Sulfur dioxide (SO</w:t>
      </w:r>
      <w:r>
        <w:rPr>
          <w:vertAlign w:val="subscript"/>
        </w:rPr>
        <w:t>2</w:t>
      </w:r>
      <w:r>
        <w:t>);</w:t>
      </w:r>
    </w:p>
    <w:p w:rsidR="0099078F" w:rsidRDefault="0099078F" w:rsidP="0099078F">
      <w:pPr>
        <w:tabs>
          <w:tab w:val="left" w:pos="1080"/>
        </w:tabs>
        <w:ind w:hanging="1440"/>
      </w:pPr>
    </w:p>
    <w:p w:rsidR="0099078F" w:rsidRDefault="0099078F" w:rsidP="0099078F">
      <w:pPr>
        <w:tabs>
          <w:tab w:val="left" w:pos="1080"/>
        </w:tabs>
        <w:ind w:left="2160" w:hanging="1440"/>
        <w:outlineLvl w:val="5"/>
      </w:pPr>
      <w:r>
        <w:t>3.</w:t>
      </w:r>
      <w:r>
        <w:rPr>
          <w:u w:val="words"/>
        </w:rPr>
        <w:tab/>
      </w:r>
      <w:r>
        <w:t>Carbon monoxide (CO);</w:t>
      </w:r>
    </w:p>
    <w:p w:rsidR="0099078F" w:rsidRDefault="0099078F" w:rsidP="0099078F">
      <w:pPr>
        <w:tabs>
          <w:tab w:val="left" w:pos="1080"/>
        </w:tabs>
        <w:ind w:hanging="1440"/>
      </w:pPr>
    </w:p>
    <w:p w:rsidR="0099078F" w:rsidRDefault="0099078F" w:rsidP="0099078F">
      <w:pPr>
        <w:tabs>
          <w:tab w:val="left" w:pos="1080"/>
        </w:tabs>
        <w:ind w:left="2160" w:hanging="1440"/>
        <w:outlineLvl w:val="5"/>
      </w:pPr>
      <w:r>
        <w:t>4.</w:t>
      </w:r>
      <w:r>
        <w:rPr>
          <w:u w:val="words"/>
        </w:rPr>
        <w:tab/>
      </w:r>
      <w:r>
        <w:t>Volatile organic compounds (VOCs);</w:t>
      </w:r>
    </w:p>
    <w:p w:rsidR="0099078F" w:rsidRDefault="0099078F" w:rsidP="0099078F">
      <w:pPr>
        <w:tabs>
          <w:tab w:val="left" w:pos="1080"/>
        </w:tabs>
        <w:ind w:hanging="1440"/>
      </w:pPr>
    </w:p>
    <w:p w:rsidR="0099078F" w:rsidRDefault="0099078F" w:rsidP="0099078F">
      <w:pPr>
        <w:tabs>
          <w:tab w:val="left" w:pos="1080"/>
        </w:tabs>
        <w:ind w:left="2160" w:hanging="1440"/>
        <w:outlineLvl w:val="5"/>
      </w:pPr>
      <w:r>
        <w:t>5.</w:t>
      </w:r>
      <w:r>
        <w:rPr>
          <w:u w:val="words"/>
        </w:rPr>
        <w:tab/>
      </w:r>
      <w:r>
        <w:t>Lead (</w:t>
      </w:r>
      <w:proofErr w:type="spellStart"/>
      <w:r>
        <w:t>Pb</w:t>
      </w:r>
      <w:proofErr w:type="spellEnd"/>
      <w:r>
        <w:t>) and lead compounds, as defined in 40 CFR 50.12;</w:t>
      </w:r>
    </w:p>
    <w:p w:rsidR="0099078F" w:rsidRDefault="0099078F" w:rsidP="0099078F">
      <w:pPr>
        <w:tabs>
          <w:tab w:val="left" w:pos="1080"/>
        </w:tabs>
        <w:ind w:hanging="1440"/>
      </w:pPr>
    </w:p>
    <w:p w:rsidR="0099078F" w:rsidRDefault="0099078F" w:rsidP="0099078F">
      <w:pPr>
        <w:tabs>
          <w:tab w:val="left" w:pos="1080"/>
        </w:tabs>
        <w:ind w:left="2160" w:hanging="1440"/>
        <w:outlineLvl w:val="5"/>
      </w:pPr>
      <w:r>
        <w:t>6.</w:t>
      </w:r>
      <w:r>
        <w:rPr>
          <w:u w:val="words"/>
        </w:rPr>
        <w:tab/>
      </w:r>
      <w:r>
        <w:t>Ammonia (NH</w:t>
      </w:r>
      <w:r>
        <w:rPr>
          <w:vertAlign w:val="subscript"/>
        </w:rPr>
        <w:t>3</w:t>
      </w:r>
      <w:r>
        <w:t>);</w:t>
      </w:r>
    </w:p>
    <w:p w:rsidR="0099078F" w:rsidRDefault="0099078F" w:rsidP="0099078F">
      <w:pPr>
        <w:tabs>
          <w:tab w:val="left" w:pos="1080"/>
        </w:tabs>
        <w:ind w:hanging="1440"/>
      </w:pPr>
    </w:p>
    <w:p w:rsidR="0099078F" w:rsidRDefault="0099078F" w:rsidP="0099078F">
      <w:pPr>
        <w:tabs>
          <w:tab w:val="left" w:pos="1080"/>
        </w:tabs>
        <w:ind w:left="2160" w:hanging="1440"/>
        <w:outlineLvl w:val="5"/>
      </w:pPr>
      <w:r>
        <w:t>7.</w:t>
      </w:r>
      <w:r>
        <w:rPr>
          <w:u w:val="words"/>
        </w:rPr>
        <w:tab/>
      </w:r>
      <w:r>
        <w:t>Particulate matter in each of the following categories:</w:t>
      </w:r>
    </w:p>
    <w:p w:rsidR="00EB1E1D" w:rsidRDefault="00EB1E1D" w:rsidP="0099078F">
      <w:pPr>
        <w:tabs>
          <w:tab w:val="left" w:pos="1440"/>
        </w:tabs>
        <w:ind w:left="1440" w:hanging="360"/>
        <w:outlineLvl w:val="6"/>
      </w:pPr>
    </w:p>
    <w:p w:rsidR="0099078F" w:rsidRDefault="0099078F" w:rsidP="0099078F">
      <w:pPr>
        <w:tabs>
          <w:tab w:val="left" w:pos="1440"/>
        </w:tabs>
        <w:ind w:left="1440" w:hanging="360"/>
        <w:outlineLvl w:val="6"/>
      </w:pPr>
      <w:r>
        <w:t>A.</w:t>
      </w:r>
      <w:r>
        <w:rPr>
          <w:u w:val="words"/>
        </w:rPr>
        <w:tab/>
      </w:r>
      <w:r>
        <w:t>Total particulate matter (total filterable plus condensable),</w:t>
      </w:r>
    </w:p>
    <w:p w:rsidR="0099078F" w:rsidRDefault="0099078F" w:rsidP="0099078F">
      <w:pPr>
        <w:ind w:left="1440" w:hanging="360"/>
      </w:pPr>
    </w:p>
    <w:p w:rsidR="0099078F" w:rsidRDefault="0099078F" w:rsidP="0099078F">
      <w:pPr>
        <w:tabs>
          <w:tab w:val="left" w:pos="1440"/>
        </w:tabs>
        <w:ind w:left="1440" w:hanging="360"/>
        <w:outlineLvl w:val="6"/>
      </w:pPr>
      <w:r>
        <w:t>B.</w:t>
      </w:r>
      <w:r>
        <w:rPr>
          <w:u w:val="words"/>
        </w:rPr>
        <w:tab/>
      </w:r>
      <w:r>
        <w:t>Total particulate matter less than 10 microns in aerodynamic diameter (PM10, also known as PM10-PRI), equivalent to PM10-FIL plus PM-CON,</w:t>
      </w:r>
    </w:p>
    <w:p w:rsidR="0099078F" w:rsidRDefault="0099078F" w:rsidP="0099078F">
      <w:pPr>
        <w:ind w:left="1440" w:hanging="360"/>
      </w:pPr>
    </w:p>
    <w:p w:rsidR="0099078F" w:rsidRDefault="0099078F" w:rsidP="0099078F">
      <w:pPr>
        <w:tabs>
          <w:tab w:val="left" w:pos="1440"/>
        </w:tabs>
        <w:ind w:left="1440" w:hanging="360"/>
        <w:outlineLvl w:val="6"/>
      </w:pPr>
      <w:r>
        <w:t>C.</w:t>
      </w:r>
      <w:r>
        <w:rPr>
          <w:u w:val="words"/>
        </w:rPr>
        <w:tab/>
      </w:r>
      <w:r>
        <w:t>Condensable particulate matter (PM-CON),</w:t>
      </w:r>
    </w:p>
    <w:p w:rsidR="0099078F" w:rsidRDefault="0099078F" w:rsidP="0099078F">
      <w:pPr>
        <w:ind w:left="1440" w:hanging="360"/>
      </w:pPr>
    </w:p>
    <w:p w:rsidR="0099078F" w:rsidRDefault="0099078F" w:rsidP="0099078F">
      <w:pPr>
        <w:tabs>
          <w:tab w:val="left" w:pos="1440"/>
        </w:tabs>
        <w:ind w:left="1440" w:hanging="360"/>
        <w:outlineLvl w:val="6"/>
      </w:pPr>
      <w:r>
        <w:t>D.</w:t>
      </w:r>
      <w:r>
        <w:rPr>
          <w:u w:val="words"/>
        </w:rPr>
        <w:tab/>
      </w:r>
      <w:r>
        <w:t>Filterable particulate matter less than 10 microns in aerodynamic diameter (PM10-FIL),</w:t>
      </w:r>
    </w:p>
    <w:p w:rsidR="0099078F" w:rsidRDefault="0099078F" w:rsidP="0099078F">
      <w:pPr>
        <w:ind w:left="1440" w:hanging="360"/>
      </w:pPr>
    </w:p>
    <w:p w:rsidR="0099078F" w:rsidRDefault="0099078F" w:rsidP="0099078F">
      <w:pPr>
        <w:tabs>
          <w:tab w:val="left" w:pos="1440"/>
        </w:tabs>
        <w:ind w:left="1440" w:hanging="360"/>
        <w:outlineLvl w:val="6"/>
      </w:pPr>
      <w:r>
        <w:t>E.</w:t>
      </w:r>
      <w:r>
        <w:rPr>
          <w:u w:val="words"/>
        </w:rPr>
        <w:tab/>
      </w:r>
      <w:r>
        <w:t>Total particulate matter less than 2.5 microns in aerodynamic diameter (PM2.5, also known as PM2.5-PRI), equivalent to PM2.5-FIL plus PM-CON, and</w:t>
      </w:r>
    </w:p>
    <w:p w:rsidR="0099078F" w:rsidRDefault="0099078F" w:rsidP="0099078F">
      <w:pPr>
        <w:ind w:left="1440" w:hanging="360"/>
      </w:pPr>
    </w:p>
    <w:p w:rsidR="0099078F" w:rsidRDefault="0099078F" w:rsidP="0099078F">
      <w:pPr>
        <w:tabs>
          <w:tab w:val="left" w:pos="1440"/>
        </w:tabs>
        <w:ind w:left="1440" w:hanging="360"/>
        <w:outlineLvl w:val="6"/>
      </w:pPr>
      <w:r>
        <w:t>F.</w:t>
      </w:r>
      <w:r>
        <w:rPr>
          <w:u w:val="words"/>
        </w:rPr>
        <w:tab/>
      </w:r>
      <w:r>
        <w:t>Filterable particulate matter less than 2.5 microns in aerodynamic diameter (PM2.5-FIL); and</w:t>
      </w:r>
    </w:p>
    <w:p w:rsidR="0099078F" w:rsidRDefault="0099078F" w:rsidP="0099078F">
      <w:pPr>
        <w:ind w:left="1080" w:hanging="360"/>
      </w:pPr>
    </w:p>
    <w:p w:rsidR="0099078F" w:rsidRDefault="0099078F" w:rsidP="0099078F">
      <w:pPr>
        <w:tabs>
          <w:tab w:val="left" w:pos="2160"/>
        </w:tabs>
        <w:ind w:left="1080" w:hanging="360"/>
        <w:outlineLvl w:val="5"/>
      </w:pPr>
      <w:r>
        <w:t>8.</w:t>
      </w:r>
      <w:r>
        <w:rPr>
          <w:u w:val="words"/>
        </w:rPr>
        <w:tab/>
      </w:r>
      <w:r>
        <w:t>All hazardous air pollutants (HAPs) as defined in §112(b) of the Clean Air Act, as revised; and</w:t>
      </w:r>
    </w:p>
    <w:p w:rsidR="0099078F" w:rsidRDefault="0099078F" w:rsidP="0099078F">
      <w:pPr>
        <w:tabs>
          <w:tab w:val="left" w:pos="-1440"/>
          <w:tab w:val="left" w:pos="1440"/>
        </w:tabs>
        <w:ind w:left="900" w:hanging="540"/>
      </w:pPr>
    </w:p>
    <w:p w:rsidR="0099078F" w:rsidRDefault="00FA7492" w:rsidP="0099078F">
      <w:pPr>
        <w:tabs>
          <w:tab w:val="left" w:pos="-1440"/>
          <w:tab w:val="left" w:pos="1440"/>
        </w:tabs>
        <w:ind w:left="720" w:hanging="360"/>
      </w:pPr>
      <w:r>
        <w:t>j</w:t>
      </w:r>
      <w:r w:rsidR="0099078F">
        <w:t>.</w:t>
      </w:r>
      <w:r w:rsidR="0099078F">
        <w:tab/>
        <w:t xml:space="preserve">A report of the calculations performed pursuant to Condition </w:t>
      </w:r>
      <w:proofErr w:type="gramStart"/>
      <w:r w:rsidR="0099078F">
        <w:t>V(</w:t>
      </w:r>
      <w:proofErr w:type="gramEnd"/>
      <w:r>
        <w:t>i</w:t>
      </w:r>
      <w:r w:rsidR="0099078F">
        <w:t>) shall be submitted to the Department with the Annual Title V compliance certification report due each year for the previous calendar year. [20 DCMR 500.1]</w:t>
      </w:r>
    </w:p>
    <w:p w:rsidR="00EB1E1D" w:rsidRDefault="00EB1E1D" w:rsidP="0099078F">
      <w:pPr>
        <w:tabs>
          <w:tab w:val="left" w:pos="-1440"/>
          <w:tab w:val="left" w:pos="1440"/>
        </w:tabs>
        <w:ind w:left="720" w:hanging="360"/>
      </w:pPr>
    </w:p>
    <w:p w:rsidR="00BD49CF" w:rsidRDefault="00EB1E1D" w:rsidP="00EB1E1D">
      <w:pPr>
        <w:tabs>
          <w:tab w:val="left" w:pos="-1440"/>
          <w:tab w:val="left" w:pos="1440"/>
        </w:tabs>
        <w:ind w:left="720" w:hanging="360"/>
      </w:pPr>
      <w:r>
        <w:lastRenderedPageBreak/>
        <w:t>k.</w:t>
      </w:r>
      <w:r>
        <w:tab/>
        <w:t>The Permittee shall include the equipment covered by this permit in all reports required by the Title V permit for the facility, including, but not limited to, semi-annual and annual compliance certifications and reports.</w:t>
      </w:r>
    </w:p>
    <w:p w:rsidR="00BD49CF" w:rsidRDefault="00BD49CF" w:rsidP="00564065"/>
    <w:p w:rsidR="00564065" w:rsidRPr="006243B7" w:rsidRDefault="00564065" w:rsidP="00564065">
      <w:r w:rsidRPr="006243B7">
        <w:t>If you have any questions, please call me at (202) 535-1747</w:t>
      </w:r>
      <w:r>
        <w:t xml:space="preserve"> or John C. Nwoke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EB1E1D" w:rsidP="000347C2">
      <w:r>
        <w:t>SSO/</w:t>
      </w:r>
      <w:r w:rsidR="00564065">
        <w:t>JCN</w:t>
      </w:r>
    </w:p>
    <w:sectPr w:rsidR="00E87306" w:rsidSect="00AC1D0B">
      <w:headerReference w:type="default" r:id="rId9"/>
      <w:footerReference w:type="default" r:id="rId10"/>
      <w:headerReference w:type="first" r:id="rId11"/>
      <w:footerReference w:type="first" r:id="rId12"/>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9C" w:rsidRDefault="0021219C">
      <w:r>
        <w:separator/>
      </w:r>
    </w:p>
  </w:endnote>
  <w:endnote w:type="continuationSeparator" w:id="0">
    <w:p w:rsidR="0021219C" w:rsidRDefault="0021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9C" w:rsidRDefault="0021219C">
      <w:r>
        <w:separator/>
      </w:r>
    </w:p>
  </w:footnote>
  <w:footnote w:type="continuationSeparator" w:id="0">
    <w:p w:rsidR="0021219C" w:rsidRDefault="0021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28" w:rsidRDefault="00A445E4" w:rsidP="00DC1B14">
    <w:pPr>
      <w:pStyle w:val="Header"/>
      <w:rPr>
        <w:b/>
      </w:rPr>
    </w:pPr>
    <w:r>
      <w:rPr>
        <w:b/>
      </w:rPr>
      <w:t>The George Washington University</w:t>
    </w:r>
  </w:p>
  <w:p w:rsidR="00BC593B" w:rsidRPr="0008644E" w:rsidRDefault="00DC1B14" w:rsidP="00BC593B">
    <w:pPr>
      <w:pStyle w:val="Header"/>
      <w:ind w:left="360" w:hanging="360"/>
      <w:rPr>
        <w:b/>
      </w:rPr>
    </w:pPr>
    <w:r>
      <w:rPr>
        <w:b/>
      </w:rPr>
      <w:t>Permit</w:t>
    </w:r>
    <w:r w:rsidRPr="001A1259">
      <w:rPr>
        <w:b/>
      </w:rPr>
      <w:t xml:space="preserve"> </w:t>
    </w:r>
    <w:r w:rsidR="008827ED">
      <w:rPr>
        <w:b/>
      </w:rPr>
      <w:t>Nos.</w:t>
    </w:r>
    <w:r w:rsidR="00611164">
      <w:rPr>
        <w:b/>
      </w:rPr>
      <w:t xml:space="preserve"> </w:t>
    </w:r>
    <w:r w:rsidR="00A445E4">
      <w:rPr>
        <w:b/>
      </w:rPr>
      <w:t>6790-R1</w:t>
    </w:r>
    <w:r w:rsidR="009B0281">
      <w:rPr>
        <w:b/>
      </w:rPr>
      <w:t xml:space="preserve"> </w:t>
    </w:r>
    <w:r w:rsidR="00AF5230">
      <w:rPr>
        <w:b/>
      </w:rPr>
      <w:t xml:space="preserve">and </w:t>
    </w:r>
    <w:r w:rsidR="00611164">
      <w:rPr>
        <w:b/>
      </w:rPr>
      <w:t>6</w:t>
    </w:r>
    <w:r w:rsidR="00A445E4">
      <w:rPr>
        <w:b/>
      </w:rPr>
      <w:t>791</w:t>
    </w:r>
    <w:r w:rsidR="00611164">
      <w:rPr>
        <w:b/>
      </w:rPr>
      <w:t>-R</w:t>
    </w:r>
    <w:r w:rsidR="00A445E4">
      <w:rPr>
        <w:b/>
      </w:rPr>
      <w:t>1</w:t>
    </w:r>
    <w:r>
      <w:rPr>
        <w:b/>
      </w:rPr>
      <w:t xml:space="preserve"> </w:t>
    </w:r>
    <w:r w:rsidRPr="001A1259">
      <w:rPr>
        <w:b/>
      </w:rPr>
      <w:t xml:space="preserve">to </w:t>
    </w:r>
    <w:r>
      <w:rPr>
        <w:b/>
      </w:rPr>
      <w:t>Operate</w:t>
    </w:r>
    <w:r w:rsidR="00B9461D">
      <w:rPr>
        <w:b/>
      </w:rPr>
      <w:t xml:space="preserve"> </w:t>
    </w:r>
    <w:r w:rsidR="00AF5230">
      <w:rPr>
        <w:b/>
      </w:rPr>
      <w:t>T</w:t>
    </w:r>
    <w:r w:rsidR="00A445E4">
      <w:rPr>
        <w:b/>
      </w:rPr>
      <w:t>wo</w:t>
    </w:r>
    <w:r w:rsidR="00B9461D">
      <w:rPr>
        <w:b/>
      </w:rPr>
      <w:t xml:space="preserve"> </w:t>
    </w:r>
    <w:r w:rsidR="00BC593B">
      <w:rPr>
        <w:b/>
      </w:rPr>
      <w:t>Cleaver Brooks Dual Fuel-Fired Boilers</w:t>
    </w:r>
    <w:r w:rsidR="00BC593B" w:rsidRPr="00BC593B">
      <w:rPr>
        <w:b/>
      </w:rPr>
      <w:t xml:space="preserve"> </w:t>
    </w:r>
    <w:r w:rsidR="00BC593B">
      <w:rPr>
        <w:b/>
      </w:rPr>
      <w:t xml:space="preserve">at </w:t>
    </w:r>
    <w:proofErr w:type="spellStart"/>
    <w:r w:rsidR="00BC593B">
      <w:rPr>
        <w:b/>
      </w:rPr>
      <w:t>Lisner</w:t>
    </w:r>
    <w:proofErr w:type="spellEnd"/>
    <w:r w:rsidR="00BC593B">
      <w:rPr>
        <w:b/>
      </w:rPr>
      <w:t xml:space="preserve"> Hall</w:t>
    </w:r>
  </w:p>
  <w:p w:rsidR="00564065" w:rsidRDefault="00BC593B" w:rsidP="00564065">
    <w:pPr>
      <w:pStyle w:val="Header"/>
    </w:pPr>
    <w:r>
      <w:t>July 9</w:t>
    </w:r>
    <w:r w:rsidR="00B9461D">
      <w:t>, 201</w:t>
    </w:r>
    <w:r w:rsidR="00611164">
      <w:t>9</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3E1014">
      <w:rPr>
        <w:noProof/>
      </w:rPr>
      <w:t>8</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949"/>
    <w:multiLevelType w:val="hybridMultilevel"/>
    <w:tmpl w:val="66D2DC12"/>
    <w:lvl w:ilvl="0" w:tplc="E59425D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82064"/>
    <w:multiLevelType w:val="hybridMultilevel"/>
    <w:tmpl w:val="9B9E980E"/>
    <w:lvl w:ilvl="0" w:tplc="99389E5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E27A1"/>
    <w:multiLevelType w:val="hybridMultilevel"/>
    <w:tmpl w:val="7026039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C2A94"/>
    <w:multiLevelType w:val="hybridMultilevel"/>
    <w:tmpl w:val="68A281CC"/>
    <w:lvl w:ilvl="0" w:tplc="0F64F5D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9">
    <w:nsid w:val="40140ABE"/>
    <w:multiLevelType w:val="multilevel"/>
    <w:tmpl w:val="7D42D9A8"/>
    <w:lvl w:ilvl="0">
      <w:start w:val="1"/>
      <w:numFmt w:val="upperRoman"/>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024823"/>
    <w:multiLevelType w:val="hybridMultilevel"/>
    <w:tmpl w:val="60344A80"/>
    <w:lvl w:ilvl="0" w:tplc="FDA4FFD0">
      <w:start w:val="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12"/>
  </w:num>
  <w:num w:numId="6">
    <w:abstractNumId w:val="4"/>
  </w:num>
  <w:num w:numId="7">
    <w:abstractNumId w:val="7"/>
  </w:num>
  <w:num w:numId="8">
    <w:abstractNumId w:val="11"/>
  </w:num>
  <w:num w:numId="9">
    <w:abstractNumId w:val="13"/>
  </w:num>
  <w:num w:numId="10">
    <w:abstractNumId w:val="14"/>
  </w:num>
  <w:num w:numId="11">
    <w:abstractNumId w:val="10"/>
  </w:num>
  <w:num w:numId="12">
    <w:abstractNumId w:val="9"/>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746"/>
    <w:rsid w:val="00016C75"/>
    <w:rsid w:val="00023DEE"/>
    <w:rsid w:val="00024F87"/>
    <w:rsid w:val="000347C2"/>
    <w:rsid w:val="00042788"/>
    <w:rsid w:val="00045EF2"/>
    <w:rsid w:val="0005177E"/>
    <w:rsid w:val="00052994"/>
    <w:rsid w:val="00054D46"/>
    <w:rsid w:val="00071F3B"/>
    <w:rsid w:val="00075F29"/>
    <w:rsid w:val="000770AF"/>
    <w:rsid w:val="000844BE"/>
    <w:rsid w:val="000938C8"/>
    <w:rsid w:val="000A4B16"/>
    <w:rsid w:val="000D718B"/>
    <w:rsid w:val="00110D20"/>
    <w:rsid w:val="00110F98"/>
    <w:rsid w:val="0011140A"/>
    <w:rsid w:val="001146D1"/>
    <w:rsid w:val="00117635"/>
    <w:rsid w:val="00124F79"/>
    <w:rsid w:val="0013210D"/>
    <w:rsid w:val="00136B8D"/>
    <w:rsid w:val="0014041E"/>
    <w:rsid w:val="00140B84"/>
    <w:rsid w:val="00157D06"/>
    <w:rsid w:val="0016428A"/>
    <w:rsid w:val="001671DF"/>
    <w:rsid w:val="0017320E"/>
    <w:rsid w:val="00177B6C"/>
    <w:rsid w:val="00183F16"/>
    <w:rsid w:val="00187009"/>
    <w:rsid w:val="001910E0"/>
    <w:rsid w:val="00194954"/>
    <w:rsid w:val="001A2D01"/>
    <w:rsid w:val="001A2E34"/>
    <w:rsid w:val="001B098D"/>
    <w:rsid w:val="001D2B9E"/>
    <w:rsid w:val="001D4D22"/>
    <w:rsid w:val="001D5F76"/>
    <w:rsid w:val="001E0E03"/>
    <w:rsid w:val="001E26E4"/>
    <w:rsid w:val="001E53BF"/>
    <w:rsid w:val="001E6912"/>
    <w:rsid w:val="001F561B"/>
    <w:rsid w:val="001F61B4"/>
    <w:rsid w:val="002005F2"/>
    <w:rsid w:val="00206ED0"/>
    <w:rsid w:val="00211F9E"/>
    <w:rsid w:val="0021219C"/>
    <w:rsid w:val="002208D5"/>
    <w:rsid w:val="00226D48"/>
    <w:rsid w:val="00244A21"/>
    <w:rsid w:val="00250AAA"/>
    <w:rsid w:val="00261894"/>
    <w:rsid w:val="002642B9"/>
    <w:rsid w:val="00271FB2"/>
    <w:rsid w:val="00273F08"/>
    <w:rsid w:val="00275781"/>
    <w:rsid w:val="002849FF"/>
    <w:rsid w:val="002908A0"/>
    <w:rsid w:val="002A7EB0"/>
    <w:rsid w:val="002B1D56"/>
    <w:rsid w:val="002B57F4"/>
    <w:rsid w:val="002C6660"/>
    <w:rsid w:val="002C670D"/>
    <w:rsid w:val="002C6A5D"/>
    <w:rsid w:val="002C7614"/>
    <w:rsid w:val="002D0497"/>
    <w:rsid w:val="002D107B"/>
    <w:rsid w:val="002E0809"/>
    <w:rsid w:val="002E239A"/>
    <w:rsid w:val="002E37D1"/>
    <w:rsid w:val="002F73E3"/>
    <w:rsid w:val="0030116A"/>
    <w:rsid w:val="003044C6"/>
    <w:rsid w:val="003140EA"/>
    <w:rsid w:val="0032450C"/>
    <w:rsid w:val="0032619F"/>
    <w:rsid w:val="003426A6"/>
    <w:rsid w:val="00344B1E"/>
    <w:rsid w:val="00344BB1"/>
    <w:rsid w:val="00355520"/>
    <w:rsid w:val="00367167"/>
    <w:rsid w:val="00367CDF"/>
    <w:rsid w:val="00377959"/>
    <w:rsid w:val="00394F7B"/>
    <w:rsid w:val="003A0C66"/>
    <w:rsid w:val="003A34F3"/>
    <w:rsid w:val="003A5A71"/>
    <w:rsid w:val="003B2CC6"/>
    <w:rsid w:val="003B44DF"/>
    <w:rsid w:val="003C1530"/>
    <w:rsid w:val="003C233D"/>
    <w:rsid w:val="003C67A1"/>
    <w:rsid w:val="003D2890"/>
    <w:rsid w:val="003D62B7"/>
    <w:rsid w:val="003E1014"/>
    <w:rsid w:val="003E6FB3"/>
    <w:rsid w:val="003F63D3"/>
    <w:rsid w:val="004233B2"/>
    <w:rsid w:val="0042395C"/>
    <w:rsid w:val="00451564"/>
    <w:rsid w:val="00452CED"/>
    <w:rsid w:val="00454253"/>
    <w:rsid w:val="00455569"/>
    <w:rsid w:val="00460225"/>
    <w:rsid w:val="00462A6E"/>
    <w:rsid w:val="00482725"/>
    <w:rsid w:val="004A1250"/>
    <w:rsid w:val="004C41B1"/>
    <w:rsid w:val="004D1B50"/>
    <w:rsid w:val="004E2D6A"/>
    <w:rsid w:val="004E481E"/>
    <w:rsid w:val="004F7D23"/>
    <w:rsid w:val="00501FC1"/>
    <w:rsid w:val="00507F38"/>
    <w:rsid w:val="00511480"/>
    <w:rsid w:val="00512DE1"/>
    <w:rsid w:val="00523832"/>
    <w:rsid w:val="00525252"/>
    <w:rsid w:val="00532D28"/>
    <w:rsid w:val="00537EBB"/>
    <w:rsid w:val="0054549A"/>
    <w:rsid w:val="00545DBC"/>
    <w:rsid w:val="00561103"/>
    <w:rsid w:val="005622AA"/>
    <w:rsid w:val="00562CE0"/>
    <w:rsid w:val="00564065"/>
    <w:rsid w:val="0056640B"/>
    <w:rsid w:val="005675BF"/>
    <w:rsid w:val="0057729C"/>
    <w:rsid w:val="00593083"/>
    <w:rsid w:val="005A2EC4"/>
    <w:rsid w:val="005A5374"/>
    <w:rsid w:val="005A6615"/>
    <w:rsid w:val="005B7510"/>
    <w:rsid w:val="005C1384"/>
    <w:rsid w:val="005C56C9"/>
    <w:rsid w:val="005D1377"/>
    <w:rsid w:val="005D2B8D"/>
    <w:rsid w:val="005D4179"/>
    <w:rsid w:val="005D5F88"/>
    <w:rsid w:val="005E2B54"/>
    <w:rsid w:val="005F5962"/>
    <w:rsid w:val="0061080C"/>
    <w:rsid w:val="00611164"/>
    <w:rsid w:val="0061180D"/>
    <w:rsid w:val="00611E7F"/>
    <w:rsid w:val="006157F3"/>
    <w:rsid w:val="00617DC2"/>
    <w:rsid w:val="00623041"/>
    <w:rsid w:val="006422A0"/>
    <w:rsid w:val="006527CA"/>
    <w:rsid w:val="00653218"/>
    <w:rsid w:val="006542C9"/>
    <w:rsid w:val="0066238A"/>
    <w:rsid w:val="00664343"/>
    <w:rsid w:val="00665E3E"/>
    <w:rsid w:val="00672C88"/>
    <w:rsid w:val="006764AE"/>
    <w:rsid w:val="00694B0B"/>
    <w:rsid w:val="006A0EF5"/>
    <w:rsid w:val="006A52C2"/>
    <w:rsid w:val="006B6E7C"/>
    <w:rsid w:val="006C20A5"/>
    <w:rsid w:val="006C2AE5"/>
    <w:rsid w:val="006C524E"/>
    <w:rsid w:val="006D16FE"/>
    <w:rsid w:val="006D1EB5"/>
    <w:rsid w:val="006D276D"/>
    <w:rsid w:val="006E19B9"/>
    <w:rsid w:val="006F7291"/>
    <w:rsid w:val="007011CB"/>
    <w:rsid w:val="0070131C"/>
    <w:rsid w:val="0071289B"/>
    <w:rsid w:val="00723B5D"/>
    <w:rsid w:val="00731447"/>
    <w:rsid w:val="00732EC4"/>
    <w:rsid w:val="0073637C"/>
    <w:rsid w:val="00737C82"/>
    <w:rsid w:val="00750226"/>
    <w:rsid w:val="0075578D"/>
    <w:rsid w:val="00774F01"/>
    <w:rsid w:val="00785ED5"/>
    <w:rsid w:val="007A3681"/>
    <w:rsid w:val="007A6215"/>
    <w:rsid w:val="007A7583"/>
    <w:rsid w:val="007B12E0"/>
    <w:rsid w:val="007B18E8"/>
    <w:rsid w:val="007B48C1"/>
    <w:rsid w:val="007B677C"/>
    <w:rsid w:val="007B6F40"/>
    <w:rsid w:val="007B7DDD"/>
    <w:rsid w:val="007E529D"/>
    <w:rsid w:val="007E680E"/>
    <w:rsid w:val="007F102C"/>
    <w:rsid w:val="007F35DA"/>
    <w:rsid w:val="0081595A"/>
    <w:rsid w:val="0082065A"/>
    <w:rsid w:val="008258F6"/>
    <w:rsid w:val="008275B1"/>
    <w:rsid w:val="008322BA"/>
    <w:rsid w:val="00850C80"/>
    <w:rsid w:val="00860ECE"/>
    <w:rsid w:val="00861A4B"/>
    <w:rsid w:val="0086553F"/>
    <w:rsid w:val="00871689"/>
    <w:rsid w:val="00876356"/>
    <w:rsid w:val="008827ED"/>
    <w:rsid w:val="00882CD3"/>
    <w:rsid w:val="008831B1"/>
    <w:rsid w:val="00883E7D"/>
    <w:rsid w:val="00890A64"/>
    <w:rsid w:val="00890DF6"/>
    <w:rsid w:val="00891880"/>
    <w:rsid w:val="008936B1"/>
    <w:rsid w:val="008942D0"/>
    <w:rsid w:val="008943ED"/>
    <w:rsid w:val="008A3475"/>
    <w:rsid w:val="008B31B3"/>
    <w:rsid w:val="008B5A88"/>
    <w:rsid w:val="008B769D"/>
    <w:rsid w:val="008C623E"/>
    <w:rsid w:val="008C7A19"/>
    <w:rsid w:val="008D01B0"/>
    <w:rsid w:val="008D143A"/>
    <w:rsid w:val="008D399E"/>
    <w:rsid w:val="008D4ECE"/>
    <w:rsid w:val="008E0BA3"/>
    <w:rsid w:val="008E34EC"/>
    <w:rsid w:val="008F1F02"/>
    <w:rsid w:val="00901812"/>
    <w:rsid w:val="00904015"/>
    <w:rsid w:val="00917C51"/>
    <w:rsid w:val="0092010A"/>
    <w:rsid w:val="00921DA7"/>
    <w:rsid w:val="009224EE"/>
    <w:rsid w:val="009247DE"/>
    <w:rsid w:val="0095060F"/>
    <w:rsid w:val="00964562"/>
    <w:rsid w:val="00964C32"/>
    <w:rsid w:val="009704C9"/>
    <w:rsid w:val="0097063A"/>
    <w:rsid w:val="00970EE1"/>
    <w:rsid w:val="0097219D"/>
    <w:rsid w:val="00975DF9"/>
    <w:rsid w:val="009813D6"/>
    <w:rsid w:val="009879CA"/>
    <w:rsid w:val="0099078F"/>
    <w:rsid w:val="009909FA"/>
    <w:rsid w:val="009953BB"/>
    <w:rsid w:val="009A1CA4"/>
    <w:rsid w:val="009A2249"/>
    <w:rsid w:val="009A7756"/>
    <w:rsid w:val="009B0147"/>
    <w:rsid w:val="009B0281"/>
    <w:rsid w:val="009B0D9E"/>
    <w:rsid w:val="009B1F07"/>
    <w:rsid w:val="009B4108"/>
    <w:rsid w:val="009B5736"/>
    <w:rsid w:val="009C06D1"/>
    <w:rsid w:val="009C48E2"/>
    <w:rsid w:val="009D04BA"/>
    <w:rsid w:val="009D4116"/>
    <w:rsid w:val="009E3D95"/>
    <w:rsid w:val="009E5B4A"/>
    <w:rsid w:val="009F6B5F"/>
    <w:rsid w:val="00A05F03"/>
    <w:rsid w:val="00A147AA"/>
    <w:rsid w:val="00A17E11"/>
    <w:rsid w:val="00A25BF7"/>
    <w:rsid w:val="00A32201"/>
    <w:rsid w:val="00A327F2"/>
    <w:rsid w:val="00A328B1"/>
    <w:rsid w:val="00A36A6B"/>
    <w:rsid w:val="00A405D7"/>
    <w:rsid w:val="00A40834"/>
    <w:rsid w:val="00A445E4"/>
    <w:rsid w:val="00A47251"/>
    <w:rsid w:val="00A533B7"/>
    <w:rsid w:val="00A53495"/>
    <w:rsid w:val="00A67445"/>
    <w:rsid w:val="00A779B6"/>
    <w:rsid w:val="00A8425C"/>
    <w:rsid w:val="00A8483C"/>
    <w:rsid w:val="00A8624D"/>
    <w:rsid w:val="00A90053"/>
    <w:rsid w:val="00A94AA8"/>
    <w:rsid w:val="00A97E9D"/>
    <w:rsid w:val="00AA04A2"/>
    <w:rsid w:val="00AA625A"/>
    <w:rsid w:val="00AA63DD"/>
    <w:rsid w:val="00AB1F9A"/>
    <w:rsid w:val="00AC02A5"/>
    <w:rsid w:val="00AC1D0B"/>
    <w:rsid w:val="00AC4536"/>
    <w:rsid w:val="00AC47C6"/>
    <w:rsid w:val="00AD0C07"/>
    <w:rsid w:val="00AD261D"/>
    <w:rsid w:val="00AD6C15"/>
    <w:rsid w:val="00AE0665"/>
    <w:rsid w:val="00AE347F"/>
    <w:rsid w:val="00AF1F64"/>
    <w:rsid w:val="00AF5230"/>
    <w:rsid w:val="00B02A6F"/>
    <w:rsid w:val="00B07BD3"/>
    <w:rsid w:val="00B12C2D"/>
    <w:rsid w:val="00B12FFC"/>
    <w:rsid w:val="00B16ED4"/>
    <w:rsid w:val="00B200A7"/>
    <w:rsid w:val="00B22831"/>
    <w:rsid w:val="00B22C46"/>
    <w:rsid w:val="00B249A6"/>
    <w:rsid w:val="00B26DCC"/>
    <w:rsid w:val="00B331FC"/>
    <w:rsid w:val="00B37380"/>
    <w:rsid w:val="00B42CCA"/>
    <w:rsid w:val="00B57208"/>
    <w:rsid w:val="00B576E1"/>
    <w:rsid w:val="00B57DAE"/>
    <w:rsid w:val="00B60BA7"/>
    <w:rsid w:val="00B63B92"/>
    <w:rsid w:val="00B803F0"/>
    <w:rsid w:val="00B8576C"/>
    <w:rsid w:val="00B86E37"/>
    <w:rsid w:val="00B87ED0"/>
    <w:rsid w:val="00B9461D"/>
    <w:rsid w:val="00BA7B16"/>
    <w:rsid w:val="00BB4D5D"/>
    <w:rsid w:val="00BC1676"/>
    <w:rsid w:val="00BC593B"/>
    <w:rsid w:val="00BD49CF"/>
    <w:rsid w:val="00BD5B8E"/>
    <w:rsid w:val="00BD5E57"/>
    <w:rsid w:val="00BE335B"/>
    <w:rsid w:val="00BE4EC3"/>
    <w:rsid w:val="00BF45D3"/>
    <w:rsid w:val="00C00FF9"/>
    <w:rsid w:val="00C020C5"/>
    <w:rsid w:val="00C0764F"/>
    <w:rsid w:val="00C07C6F"/>
    <w:rsid w:val="00C17239"/>
    <w:rsid w:val="00C20B84"/>
    <w:rsid w:val="00C227B4"/>
    <w:rsid w:val="00C25DCB"/>
    <w:rsid w:val="00C2728F"/>
    <w:rsid w:val="00C4725D"/>
    <w:rsid w:val="00C55697"/>
    <w:rsid w:val="00C573A8"/>
    <w:rsid w:val="00C60895"/>
    <w:rsid w:val="00C672D1"/>
    <w:rsid w:val="00C74823"/>
    <w:rsid w:val="00C755AB"/>
    <w:rsid w:val="00C80FD8"/>
    <w:rsid w:val="00C81F76"/>
    <w:rsid w:val="00C86776"/>
    <w:rsid w:val="00C92542"/>
    <w:rsid w:val="00CA6B74"/>
    <w:rsid w:val="00CA7121"/>
    <w:rsid w:val="00CC68D3"/>
    <w:rsid w:val="00CC77D1"/>
    <w:rsid w:val="00CC77E5"/>
    <w:rsid w:val="00CD3BD5"/>
    <w:rsid w:val="00CD6C94"/>
    <w:rsid w:val="00CE5B65"/>
    <w:rsid w:val="00CF136A"/>
    <w:rsid w:val="00D036D9"/>
    <w:rsid w:val="00D04603"/>
    <w:rsid w:val="00D30880"/>
    <w:rsid w:val="00D30D92"/>
    <w:rsid w:val="00D33BFC"/>
    <w:rsid w:val="00D40D15"/>
    <w:rsid w:val="00D40F43"/>
    <w:rsid w:val="00D45C4E"/>
    <w:rsid w:val="00D46983"/>
    <w:rsid w:val="00D477ED"/>
    <w:rsid w:val="00D579C4"/>
    <w:rsid w:val="00D653C4"/>
    <w:rsid w:val="00D717A9"/>
    <w:rsid w:val="00D72473"/>
    <w:rsid w:val="00D749C3"/>
    <w:rsid w:val="00D74A9D"/>
    <w:rsid w:val="00D75DEE"/>
    <w:rsid w:val="00D8110F"/>
    <w:rsid w:val="00D816EF"/>
    <w:rsid w:val="00D835CE"/>
    <w:rsid w:val="00D84424"/>
    <w:rsid w:val="00D84976"/>
    <w:rsid w:val="00D85C17"/>
    <w:rsid w:val="00D9183E"/>
    <w:rsid w:val="00D94DF6"/>
    <w:rsid w:val="00D96569"/>
    <w:rsid w:val="00DA062F"/>
    <w:rsid w:val="00DB3C9D"/>
    <w:rsid w:val="00DB7215"/>
    <w:rsid w:val="00DC1B14"/>
    <w:rsid w:val="00DC389C"/>
    <w:rsid w:val="00DC4653"/>
    <w:rsid w:val="00DC51BD"/>
    <w:rsid w:val="00DC5687"/>
    <w:rsid w:val="00DD72E6"/>
    <w:rsid w:val="00DE2E87"/>
    <w:rsid w:val="00DF19CD"/>
    <w:rsid w:val="00E00189"/>
    <w:rsid w:val="00E20183"/>
    <w:rsid w:val="00E54043"/>
    <w:rsid w:val="00E542E6"/>
    <w:rsid w:val="00E54C82"/>
    <w:rsid w:val="00E55CA2"/>
    <w:rsid w:val="00E60579"/>
    <w:rsid w:val="00E60F05"/>
    <w:rsid w:val="00E727DF"/>
    <w:rsid w:val="00E74493"/>
    <w:rsid w:val="00E84BAF"/>
    <w:rsid w:val="00E87306"/>
    <w:rsid w:val="00E913E0"/>
    <w:rsid w:val="00E92CC7"/>
    <w:rsid w:val="00EA4DF0"/>
    <w:rsid w:val="00EB1E1D"/>
    <w:rsid w:val="00EB61C5"/>
    <w:rsid w:val="00ED0CC4"/>
    <w:rsid w:val="00ED1A6B"/>
    <w:rsid w:val="00EE26C1"/>
    <w:rsid w:val="00EE3BEE"/>
    <w:rsid w:val="00EE7676"/>
    <w:rsid w:val="00EF07A6"/>
    <w:rsid w:val="00F03133"/>
    <w:rsid w:val="00F0380E"/>
    <w:rsid w:val="00F04990"/>
    <w:rsid w:val="00F10F68"/>
    <w:rsid w:val="00F151E6"/>
    <w:rsid w:val="00F178F0"/>
    <w:rsid w:val="00F205C0"/>
    <w:rsid w:val="00F251EB"/>
    <w:rsid w:val="00F2687F"/>
    <w:rsid w:val="00F33610"/>
    <w:rsid w:val="00F34A64"/>
    <w:rsid w:val="00F4133E"/>
    <w:rsid w:val="00F57665"/>
    <w:rsid w:val="00F6722E"/>
    <w:rsid w:val="00F70EC2"/>
    <w:rsid w:val="00F81C85"/>
    <w:rsid w:val="00F8204A"/>
    <w:rsid w:val="00F92088"/>
    <w:rsid w:val="00F93351"/>
    <w:rsid w:val="00FA350A"/>
    <w:rsid w:val="00FA369F"/>
    <w:rsid w:val="00FA7278"/>
    <w:rsid w:val="00FA7492"/>
    <w:rsid w:val="00FA7656"/>
    <w:rsid w:val="00FB2DD5"/>
    <w:rsid w:val="00FC288E"/>
    <w:rsid w:val="00FC68D0"/>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79918498">
      <w:bodyDiv w:val="1"/>
      <w:marLeft w:val="0"/>
      <w:marRight w:val="0"/>
      <w:marTop w:val="0"/>
      <w:marBottom w:val="0"/>
      <w:divBdr>
        <w:top w:val="none" w:sz="0" w:space="0" w:color="auto"/>
        <w:left w:val="none" w:sz="0" w:space="0" w:color="auto"/>
        <w:bottom w:val="none" w:sz="0" w:space="0" w:color="auto"/>
        <w:right w:val="none" w:sz="0" w:space="0" w:color="auto"/>
      </w:divBdr>
    </w:div>
    <w:div w:id="41952601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654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7941-6569-471D-BB56-EEC2FF16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985</TotalTime>
  <Pages>10</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19266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5</cp:revision>
  <cp:lastPrinted>2019-01-23T18:11:00Z</cp:lastPrinted>
  <dcterms:created xsi:type="dcterms:W3CDTF">2019-05-29T21:44:00Z</dcterms:created>
  <dcterms:modified xsi:type="dcterms:W3CDTF">2019-05-30T14:31:00Z</dcterms:modified>
</cp:coreProperties>
</file>