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0487" w14:textId="77777777" w:rsidR="00567FA4" w:rsidRPr="00567FA4" w:rsidRDefault="00567FA4" w:rsidP="00567FA4">
      <w:pPr>
        <w:jc w:val="center"/>
        <w:rPr>
          <w:b/>
        </w:rPr>
      </w:pPr>
      <w:r w:rsidRPr="00567FA4">
        <w:rPr>
          <w:b/>
        </w:rPr>
        <w:t>Department of Energy and Environment</w:t>
      </w:r>
    </w:p>
    <w:p w14:paraId="1B99A31C" w14:textId="77777777" w:rsidR="00567FA4" w:rsidRDefault="00567FA4" w:rsidP="00567FA4">
      <w:pPr>
        <w:jc w:val="center"/>
        <w:rPr>
          <w:b/>
        </w:rPr>
      </w:pPr>
    </w:p>
    <w:p w14:paraId="70132A82" w14:textId="77777777" w:rsidR="00567FA4" w:rsidRPr="00567FA4" w:rsidRDefault="00567FA4" w:rsidP="00567FA4">
      <w:pPr>
        <w:jc w:val="center"/>
        <w:rPr>
          <w:b/>
          <w:u w:val="single"/>
        </w:rPr>
      </w:pPr>
      <w:r w:rsidRPr="00567FA4">
        <w:rPr>
          <w:b/>
          <w:u w:val="single"/>
        </w:rPr>
        <w:t>NOTICE OF PROPOSED RULEMAKING</w:t>
      </w:r>
    </w:p>
    <w:p w14:paraId="2A52A60E" w14:textId="77777777" w:rsidR="00567FA4" w:rsidRPr="00567FA4" w:rsidRDefault="00567FA4" w:rsidP="00567FA4">
      <w:pPr>
        <w:jc w:val="center"/>
        <w:rPr>
          <w:b/>
          <w:u w:val="single"/>
        </w:rPr>
      </w:pPr>
    </w:p>
    <w:p w14:paraId="3FB91F0F" w14:textId="77777777" w:rsidR="00567FA4" w:rsidRPr="00EF6E5B" w:rsidRDefault="00567FA4" w:rsidP="00567FA4">
      <w:pPr>
        <w:jc w:val="center"/>
        <w:rPr>
          <w:b/>
        </w:rPr>
      </w:pPr>
      <w:r w:rsidRPr="00F7490A">
        <w:rPr>
          <w:b/>
        </w:rPr>
        <w:t>R</w:t>
      </w:r>
      <w:r>
        <w:rPr>
          <w:b/>
        </w:rPr>
        <w:t>easonably</w:t>
      </w:r>
      <w:r w:rsidRPr="00F7490A">
        <w:rPr>
          <w:b/>
        </w:rPr>
        <w:t xml:space="preserve"> A</w:t>
      </w:r>
      <w:r>
        <w:rPr>
          <w:b/>
        </w:rPr>
        <w:t>vailable</w:t>
      </w:r>
      <w:r w:rsidRPr="00F7490A">
        <w:rPr>
          <w:b/>
        </w:rPr>
        <w:t xml:space="preserve"> C</w:t>
      </w:r>
      <w:r>
        <w:rPr>
          <w:b/>
        </w:rPr>
        <w:t>ontrol</w:t>
      </w:r>
      <w:r w:rsidRPr="00F7490A">
        <w:rPr>
          <w:b/>
        </w:rPr>
        <w:t xml:space="preserve"> T</w:t>
      </w:r>
      <w:r>
        <w:rPr>
          <w:b/>
        </w:rPr>
        <w:t>echnology</w:t>
      </w:r>
      <w:r w:rsidRPr="00F7490A">
        <w:rPr>
          <w:b/>
        </w:rPr>
        <w:t xml:space="preserve"> </w:t>
      </w:r>
      <w:r>
        <w:rPr>
          <w:b/>
        </w:rPr>
        <w:t>for</w:t>
      </w:r>
      <w:r w:rsidRPr="00F7490A">
        <w:rPr>
          <w:b/>
        </w:rPr>
        <w:t xml:space="preserve"> M</w:t>
      </w:r>
      <w:r>
        <w:rPr>
          <w:b/>
        </w:rPr>
        <w:t>ajor</w:t>
      </w:r>
      <w:r w:rsidRPr="00F7490A">
        <w:rPr>
          <w:b/>
        </w:rPr>
        <w:t xml:space="preserve"> S</w:t>
      </w:r>
      <w:r>
        <w:rPr>
          <w:b/>
        </w:rPr>
        <w:t>tationary</w:t>
      </w:r>
      <w:r w:rsidRPr="00F7490A">
        <w:rPr>
          <w:b/>
        </w:rPr>
        <w:t xml:space="preserve"> S</w:t>
      </w:r>
      <w:r>
        <w:rPr>
          <w:b/>
        </w:rPr>
        <w:t>ources of the Oxides of Nitrogen</w:t>
      </w:r>
      <w:r w:rsidRPr="00EF6E5B">
        <w:rPr>
          <w:b/>
        </w:rPr>
        <w:t xml:space="preserve"> Regulations</w:t>
      </w:r>
    </w:p>
    <w:p w14:paraId="3BE9503A" w14:textId="77777777" w:rsidR="00567FA4" w:rsidRPr="00EF6E5B" w:rsidRDefault="00567FA4" w:rsidP="00567FA4"/>
    <w:p w14:paraId="00B78961" w14:textId="636B6B32" w:rsidR="00071A1E" w:rsidRPr="00EF6E5B" w:rsidRDefault="00071A1E" w:rsidP="00071A1E">
      <w:pPr>
        <w:jc w:val="both"/>
      </w:pPr>
      <w:r w:rsidRPr="00EF6E5B">
        <w:t>The Director of the Department of Energy and Environment (DOEE or Department), pursuant to the authority set forth in Sections 5 and 6 of the District of Columbia Air Pollutio</w:t>
      </w:r>
      <w:r w:rsidR="0088152D">
        <w:t>n Control Act of 1984 (the Act</w:t>
      </w:r>
      <w:r w:rsidRPr="00EF6E5B">
        <w:t>), effective March 15, 1985 (D.C. Law 5-165; D.C. Official Code §</w:t>
      </w:r>
      <w:r w:rsidR="00DA733A">
        <w:t>§</w:t>
      </w:r>
      <w:r w:rsidRPr="00EF6E5B">
        <w:t xml:space="preserve"> 8-101.05 </w:t>
      </w:r>
      <w:r w:rsidR="00DA733A">
        <w:t>and 8-101.0</w:t>
      </w:r>
      <w:r w:rsidR="008D2716">
        <w:t>6</w:t>
      </w:r>
      <w:r w:rsidRPr="00EF6E5B">
        <w:t xml:space="preserve"> (2013 Repl. &amp; 2018 Supp.))</w:t>
      </w:r>
      <w:r w:rsidR="0088152D">
        <w:t xml:space="preserve">, as amended by title I of the Air Quality Amendment Act of 2014 (the Amendment Act), effective September 9, 2014 (D.C. Law 20-0135; </w:t>
      </w:r>
      <w:r w:rsidR="00170A35">
        <w:t xml:space="preserve">61 </w:t>
      </w:r>
      <w:r w:rsidR="0088152D">
        <w:t>DCR</w:t>
      </w:r>
      <w:r w:rsidR="00170A35">
        <w:t xml:space="preserve"> 9968);</w:t>
      </w:r>
      <w:r w:rsidR="0088152D">
        <w:t xml:space="preserve">  </w:t>
      </w:r>
      <w:r w:rsidRPr="00EF6E5B">
        <w:t xml:space="preserve">Section 107(4) of the District Department of the Environment Establishment Act of 2005, effective February 15, 2006 (D.C. Law 16-51; D.C. Official Code § 8-151.07(4) (2013 Repl.)); and Mayor’s Order 2006-61, dated June 14, 2006; hereby gives notice of the proposal of the following amendments to Chapter </w:t>
      </w:r>
      <w:r>
        <w:t>8</w:t>
      </w:r>
      <w:r w:rsidRPr="00EF6E5B">
        <w:t xml:space="preserve"> (Air Quality – </w:t>
      </w:r>
      <w:r w:rsidRPr="00F7490A">
        <w:t>A</w:t>
      </w:r>
      <w:r>
        <w:t>sbestos</w:t>
      </w:r>
      <w:r w:rsidRPr="00F7490A">
        <w:t>, S</w:t>
      </w:r>
      <w:r>
        <w:t>ulfur</w:t>
      </w:r>
      <w:r w:rsidRPr="00F7490A">
        <w:t>, N</w:t>
      </w:r>
      <w:r>
        <w:t>itrogen</w:t>
      </w:r>
      <w:r w:rsidRPr="00F7490A">
        <w:t xml:space="preserve"> O</w:t>
      </w:r>
      <w:r>
        <w:t>xides</w:t>
      </w:r>
      <w:r w:rsidRPr="00F7490A">
        <w:t xml:space="preserve">, </w:t>
      </w:r>
      <w:r>
        <w:t>and Lead</w:t>
      </w:r>
      <w:r w:rsidRPr="00EF6E5B">
        <w:t>) of Title 20 (Environment) of the District of Columbia Municipal Regulations (DCMR).</w:t>
      </w:r>
    </w:p>
    <w:p w14:paraId="1C1E0C95" w14:textId="77777777" w:rsidR="00071A1E" w:rsidRPr="00EF6E5B" w:rsidRDefault="00071A1E" w:rsidP="00071A1E">
      <w:pPr>
        <w:jc w:val="both"/>
      </w:pPr>
    </w:p>
    <w:p w14:paraId="47D56867" w14:textId="77777777" w:rsidR="00071A1E" w:rsidRPr="00EF6E5B" w:rsidRDefault="00071A1E" w:rsidP="00071A1E">
      <w:pPr>
        <w:jc w:val="both"/>
        <w:rPr>
          <w:b/>
        </w:rPr>
      </w:pPr>
      <w:r w:rsidRPr="00EF6E5B">
        <w:rPr>
          <w:b/>
        </w:rPr>
        <w:t xml:space="preserve">Reasonably Available Control Technology </w:t>
      </w:r>
    </w:p>
    <w:p w14:paraId="61130634" w14:textId="77777777" w:rsidR="00071A1E" w:rsidRPr="00EF6E5B" w:rsidRDefault="00071A1E" w:rsidP="00071A1E">
      <w:pPr>
        <w:jc w:val="both"/>
      </w:pPr>
    </w:p>
    <w:p w14:paraId="31E1E5B0" w14:textId="4B8ED23A" w:rsidR="00071A1E" w:rsidRDefault="00071A1E" w:rsidP="00071A1E">
      <w:pPr>
        <w:jc w:val="both"/>
      </w:pPr>
      <w:r w:rsidRPr="00EF6E5B">
        <w:t xml:space="preserve">On October 26, 2015, </w:t>
      </w:r>
      <w:r w:rsidR="00D5059F" w:rsidRPr="00EF6E5B">
        <w:t>the U.S. Environmental Protection Agency (</w:t>
      </w:r>
      <w:r w:rsidRPr="00EF6E5B">
        <w:t>EPA</w:t>
      </w:r>
      <w:r w:rsidR="00D5059F">
        <w:t>)</w:t>
      </w:r>
      <w:r w:rsidRPr="00EF6E5B">
        <w:t xml:space="preserve"> promulgated revised 8-hour primary and secondary ozone National Ambient Air Quality Standards (NAAQS). 80 Fed. Reg. 65292 (October 26, 2015). Under the Clean Air Act (CAA), </w:t>
      </w:r>
      <w:r w:rsidR="00AE62F9">
        <w:t xml:space="preserve">states with </w:t>
      </w:r>
      <w:r w:rsidRPr="00EF6E5B">
        <w:t xml:space="preserve">areas designated as nonattainment for </w:t>
      </w:r>
      <w:r w:rsidR="00A84809">
        <w:t xml:space="preserve">the </w:t>
      </w:r>
      <w:r w:rsidRPr="00EF6E5B">
        <w:t xml:space="preserve">revised ozone NAAQS and states located in the Ozone Transport Region (OTR) are required to submit, for the approval of EPA, revisions to the relevant state implementation plan (SIP) to ensure that </w:t>
      </w:r>
      <w:r w:rsidR="00A84809">
        <w:t xml:space="preserve">the revisions </w:t>
      </w:r>
      <w:r w:rsidRPr="00EF6E5B">
        <w:t>comply with all applicable statutory and regulatory requirements.</w:t>
      </w:r>
      <w:r w:rsidRPr="00EF6E5B">
        <w:rPr>
          <w:rFonts w:eastAsia="Calibri"/>
        </w:rPr>
        <w:t xml:space="preserve"> 42 U.S.C. § 7502(b)</w:t>
      </w:r>
      <w:r>
        <w:rPr>
          <w:rFonts w:eastAsia="Calibri"/>
        </w:rPr>
        <w:t>.</w:t>
      </w:r>
      <w:r w:rsidRPr="00EF6E5B">
        <w:t xml:space="preserve"> The District is a part of the OTR and was designated as being in marginal nonattainment for the 2015 Ozone NAAQS. 83 Fed. Reg. 25776, 25795 (June 4, 2018). </w:t>
      </w:r>
      <w:r>
        <w:t>Since t</w:t>
      </w:r>
      <w:r w:rsidRPr="00EF6E5B">
        <w:t xml:space="preserve">he District </w:t>
      </w:r>
      <w:r w:rsidRPr="0071063C">
        <w:t>is located within the OTR</w:t>
      </w:r>
      <w:r w:rsidR="00A84809">
        <w:t>,</w:t>
      </w:r>
      <w:r>
        <w:t xml:space="preserve"> it </w:t>
      </w:r>
      <w:r w:rsidRPr="00EF6E5B">
        <w:t xml:space="preserve">must comply with the </w:t>
      </w:r>
      <w:r w:rsidR="00AE62F9">
        <w:t xml:space="preserve">EPA’s </w:t>
      </w:r>
      <w:r w:rsidRPr="00EF6E5B">
        <w:t>Reasonably Available Control Technology (RACT) requirements</w:t>
      </w:r>
      <w:r w:rsidR="00AE62F9">
        <w:t xml:space="preserve"> (40 C.F.R. Part 51, Subpart X)</w:t>
      </w:r>
      <w:r w:rsidRPr="00EF6E5B">
        <w:t xml:space="preserve">. </w:t>
      </w:r>
    </w:p>
    <w:p w14:paraId="423560E3" w14:textId="77777777" w:rsidR="00071A1E" w:rsidRDefault="00071A1E" w:rsidP="00071A1E">
      <w:pPr>
        <w:jc w:val="both"/>
      </w:pPr>
    </w:p>
    <w:p w14:paraId="14D2B70A" w14:textId="77777777" w:rsidR="00071A1E" w:rsidRPr="00EF6E5B" w:rsidRDefault="00071A1E" w:rsidP="00071A1E">
      <w:pPr>
        <w:jc w:val="both"/>
      </w:pPr>
      <w:r w:rsidRPr="00EF6E5B">
        <w:t>The requirement to update RACT standards in response to the 2015 ozone NAAQS applies to the two precursor pollutants of ozone, nitrogen oxides (NOx) and volatile organic compounds (VOC). As part of this requirement, the District must review its regulations and determine if it is necessary to update the existing RACT standards for stationary source categories under its jurisdiction.</w:t>
      </w:r>
      <w:r>
        <w:t xml:space="preserve"> </w:t>
      </w:r>
    </w:p>
    <w:p w14:paraId="72C4B48D" w14:textId="77777777" w:rsidR="00071A1E" w:rsidRPr="00EF6E5B" w:rsidRDefault="00071A1E" w:rsidP="00071A1E">
      <w:pPr>
        <w:jc w:val="both"/>
      </w:pPr>
    </w:p>
    <w:p w14:paraId="7F4F6EB8" w14:textId="77777777" w:rsidR="00071A1E" w:rsidRDefault="00071A1E" w:rsidP="00071A1E">
      <w:pPr>
        <w:jc w:val="both"/>
      </w:pPr>
      <w:r w:rsidRPr="00EF6E5B">
        <w:t>EPA has defined RACT as “the lowest emission limitation that a particular source is capable of meeting by the application of control technology that is reasonably available considering technological and economic feasibility… In evaluating economic feasibility for RACT determinations, the EPA gives significant weight to economic efficiency and relative cost effectiveness.” 83 Fed. Reg.62998,</w:t>
      </w:r>
      <w:r>
        <w:t xml:space="preserve"> </w:t>
      </w:r>
      <w:r w:rsidRPr="00EF6E5B">
        <w:t>63007, FN 16 (December 6, 2018).</w:t>
      </w:r>
    </w:p>
    <w:p w14:paraId="25577F75" w14:textId="77777777" w:rsidR="00071A1E" w:rsidRDefault="00071A1E" w:rsidP="00071A1E">
      <w:pPr>
        <w:jc w:val="both"/>
      </w:pPr>
    </w:p>
    <w:p w14:paraId="28C173A9" w14:textId="7A193A41" w:rsidR="00071A1E" w:rsidRPr="00EF6E5B" w:rsidRDefault="00071A1E" w:rsidP="00071A1E">
      <w:pPr>
        <w:jc w:val="both"/>
      </w:pPr>
      <w:r>
        <w:t xml:space="preserve">The Department is also considering current ozone levels in its evaluation of RACT. The District is required under its marginal ozone classification to achieve levels at or below 0.070 parts per </w:t>
      </w:r>
      <w:r>
        <w:lastRenderedPageBreak/>
        <w:t>million</w:t>
      </w:r>
      <w:r w:rsidR="008D3A25">
        <w:t xml:space="preserve"> (ppm)</w:t>
      </w:r>
      <w:r>
        <w:t xml:space="preserve"> by August 3, 2021. </w:t>
      </w:r>
      <w:r w:rsidR="00837BB1">
        <w:t>Using the</w:t>
      </w:r>
      <w:r>
        <w:t xml:space="preserve"> 2017-2019 design value, </w:t>
      </w:r>
      <w:r w:rsidR="00837BB1">
        <w:t xml:space="preserve">ozone levels </w:t>
      </w:r>
      <w:r>
        <w:t xml:space="preserve">at the lead monitor in the District (McMillan Reservoir) are 0.071 ppm and at the lead monitor in the Washington, DC-MD-VA nonattainment area </w:t>
      </w:r>
      <w:r w:rsidR="00884257">
        <w:t xml:space="preserve">(Beltsville, MD) </w:t>
      </w:r>
      <w:r>
        <w:t xml:space="preserve">are 0.072 </w:t>
      </w:r>
      <w:r w:rsidR="00884257">
        <w:t>ppm</w:t>
      </w:r>
      <w:r w:rsidR="00431A5F">
        <w:t>,</w:t>
      </w:r>
      <w:r w:rsidR="00884257">
        <w:t xml:space="preserve"> </w:t>
      </w:r>
      <w:r>
        <w:t>so decisions concerning RACT standards must be made in light of th</w:t>
      </w:r>
      <w:r w:rsidR="00431A5F">
        <w:t>e</w:t>
      </w:r>
      <w:r>
        <w:t>s</w:t>
      </w:r>
      <w:r w:rsidR="00431A5F">
        <w:t>e levels</w:t>
      </w:r>
      <w:r>
        <w:t>.</w:t>
      </w:r>
    </w:p>
    <w:p w14:paraId="207EF12A" w14:textId="77777777" w:rsidR="00071A1E" w:rsidRDefault="00071A1E" w:rsidP="00071A1E">
      <w:pPr>
        <w:jc w:val="both"/>
        <w:rPr>
          <w:b/>
        </w:rPr>
      </w:pPr>
    </w:p>
    <w:p w14:paraId="40F698C5" w14:textId="77777777" w:rsidR="00071A1E" w:rsidRPr="00EF6E5B" w:rsidRDefault="00071A1E" w:rsidP="00071A1E">
      <w:pPr>
        <w:jc w:val="both"/>
        <w:rPr>
          <w:b/>
        </w:rPr>
      </w:pPr>
      <w:r w:rsidRPr="00EF6E5B">
        <w:rPr>
          <w:b/>
        </w:rPr>
        <w:t>Proposed Regulatory Amendments</w:t>
      </w:r>
    </w:p>
    <w:p w14:paraId="4F4FA677" w14:textId="77777777" w:rsidR="00071A1E" w:rsidRPr="00EF6E5B" w:rsidRDefault="00071A1E" w:rsidP="00071A1E">
      <w:pPr>
        <w:jc w:val="both"/>
      </w:pPr>
    </w:p>
    <w:p w14:paraId="3DB20876" w14:textId="77777777" w:rsidR="00071A1E" w:rsidRDefault="00071A1E" w:rsidP="00071A1E">
      <w:pPr>
        <w:jc w:val="both"/>
      </w:pPr>
      <w:r w:rsidRPr="00EF6E5B">
        <w:t xml:space="preserve">The Department is proposing amendments to 20 DCMR Chapter </w:t>
      </w:r>
      <w:r>
        <w:t>8</w:t>
      </w:r>
      <w:r w:rsidRPr="00EF6E5B">
        <w:t xml:space="preserve"> </w:t>
      </w:r>
      <w:r>
        <w:t>to include a presumptive NOx RACT for fuel burning equipment (e.g., institutional and commercial boilers, water heaters) sized down to five</w:t>
      </w:r>
      <w:r w:rsidRPr="00B2332B">
        <w:t xml:space="preserve"> million (</w:t>
      </w:r>
      <w:r>
        <w:t>5</w:t>
      </w:r>
      <w:r w:rsidRPr="00B2332B">
        <w:t>,000,000) BTU per hour</w:t>
      </w:r>
      <w:r>
        <w:t xml:space="preserve">, </w:t>
      </w:r>
      <w:r w:rsidR="000D02D9">
        <w:t xml:space="preserve">to </w:t>
      </w:r>
      <w:r>
        <w:t>lower the emission limits that constitute presumptive NOx RACT for fuel burning equipment sized twenty-five</w:t>
      </w:r>
      <w:r w:rsidRPr="00B2332B">
        <w:t xml:space="preserve"> million (</w:t>
      </w:r>
      <w:r>
        <w:t>25</w:t>
      </w:r>
      <w:r w:rsidRPr="00B2332B">
        <w:t>,000,000) BTU per hour or greater</w:t>
      </w:r>
      <w:r>
        <w:t xml:space="preserve">, and </w:t>
      </w:r>
      <w:r w:rsidR="000D02D9">
        <w:t xml:space="preserve">to </w:t>
      </w:r>
      <w:r>
        <w:t xml:space="preserve">implement presumptive NOx RACT for non-emergency stationary engines. </w:t>
      </w:r>
    </w:p>
    <w:p w14:paraId="71FB598D" w14:textId="77777777" w:rsidR="00071A1E" w:rsidRDefault="00071A1E" w:rsidP="00071A1E">
      <w:pPr>
        <w:jc w:val="both"/>
      </w:pPr>
    </w:p>
    <w:p w14:paraId="52A76963" w14:textId="611B1175" w:rsidR="00071A1E" w:rsidRDefault="00071A1E" w:rsidP="00071A1E">
      <w:pPr>
        <w:jc w:val="both"/>
      </w:pPr>
      <w:r>
        <w:t xml:space="preserve">The Department is also proposing an alternative compliance mechanism for fuel burning equipment to encourage switching from fossil-fuel powered boilers to low or zero emission alternatives, such as electric heat pumps, which corresponds to other environmental priorities in the District, such as those specified in the </w:t>
      </w:r>
      <w:r w:rsidRPr="000F306C">
        <w:t xml:space="preserve">August 27, 2018 </w:t>
      </w:r>
      <w:r>
        <w:t xml:space="preserve">Clean Energy DC plan. Additionally, the Department is proposing to integrate the case-by-case NOx RACT process with </w:t>
      </w:r>
      <w:r w:rsidR="000D02D9">
        <w:t xml:space="preserve">the </w:t>
      </w:r>
      <w:r w:rsidRPr="00EF6E5B">
        <w:t xml:space="preserve">20 DCMR Chapter </w:t>
      </w:r>
      <w:r>
        <w:t xml:space="preserve">2 permitting </w:t>
      </w:r>
      <w:r w:rsidR="000D02D9">
        <w:t xml:space="preserve">process, </w:t>
      </w:r>
      <w:r>
        <w:t xml:space="preserve">and </w:t>
      </w:r>
      <w:r w:rsidR="000D02D9">
        <w:t xml:space="preserve">to </w:t>
      </w:r>
      <w:r>
        <w:t xml:space="preserve">provide more specific regulations </w:t>
      </w:r>
      <w:r w:rsidR="002D2597">
        <w:t xml:space="preserve">regarding </w:t>
      </w:r>
      <w:r>
        <w:t>testing, record keeping, and maintenance. Finally</w:t>
      </w:r>
      <w:r w:rsidRPr="00EF6E5B">
        <w:t xml:space="preserve">, the Department is proposing to add related definitions and abbreviations to </w:t>
      </w:r>
      <w:r>
        <w:t xml:space="preserve">both </w:t>
      </w:r>
      <w:r w:rsidRPr="00EF6E5B">
        <w:t xml:space="preserve">20 DCMR § </w:t>
      </w:r>
      <w:r>
        <w:t>1</w:t>
      </w:r>
      <w:r w:rsidRPr="00EF6E5B">
        <w:t>99</w:t>
      </w:r>
      <w:r>
        <w:t xml:space="preserve"> and </w:t>
      </w:r>
      <w:r w:rsidRPr="00EF6E5B">
        <w:t xml:space="preserve">20 DCMR § </w:t>
      </w:r>
      <w:r>
        <w:t>8</w:t>
      </w:r>
      <w:r w:rsidRPr="00EF6E5B">
        <w:t>99</w:t>
      </w:r>
      <w:r>
        <w:t>.</w:t>
      </w:r>
    </w:p>
    <w:p w14:paraId="7B82DBD8" w14:textId="77777777" w:rsidR="00071A1E" w:rsidRPr="00EF6E5B" w:rsidRDefault="00071A1E" w:rsidP="00071A1E">
      <w:pPr>
        <w:jc w:val="both"/>
      </w:pPr>
    </w:p>
    <w:p w14:paraId="6638E859" w14:textId="64C1437F" w:rsidR="00071A1E" w:rsidRDefault="00071A1E" w:rsidP="00071A1E">
      <w:pPr>
        <w:jc w:val="both"/>
      </w:pPr>
      <w:r w:rsidRPr="00EF6E5B">
        <w:t xml:space="preserve">Through analysis of regulations adopted as RACT by other jurisdictions in the OTR, the Department finds that this regulation constitutes </w:t>
      </w:r>
      <w:r>
        <w:t xml:space="preserve">presumptive </w:t>
      </w:r>
      <w:r w:rsidRPr="00EF6E5B">
        <w:t xml:space="preserve">RACT for </w:t>
      </w:r>
      <w:r>
        <w:t>fuel burning equipment, combustion turbines, asphaltic production equipment, and non-emergency stationary generators</w:t>
      </w:r>
      <w:r w:rsidRPr="00EF6E5B">
        <w:t>.</w:t>
      </w:r>
      <w:r>
        <w:t xml:space="preserve"> These emission limits are, with one exception,</w:t>
      </w:r>
      <w:r w:rsidR="000D02D9" w:rsidRPr="00170A35">
        <w:rPr>
          <w:rStyle w:val="FootnoteReference"/>
          <w:vertAlign w:val="superscript"/>
        </w:rPr>
        <w:footnoteReference w:id="2"/>
      </w:r>
      <w:r>
        <w:t xml:space="preserve"> equivalent to model regulations developed by the Ozone Transport Commission (OTC) in 2006 and 2010. These emission limits have been adopted by many OTC member jurisdictions, so the technologies required to implement these emission limits are reasonably available</w:t>
      </w:r>
      <w:r w:rsidR="000D02D9">
        <w:t>.</w:t>
      </w:r>
      <w:r>
        <w:t xml:space="preserve"> </w:t>
      </w:r>
      <w:r w:rsidR="000D02D9">
        <w:t xml:space="preserve">However, </w:t>
      </w:r>
      <w:r>
        <w:t xml:space="preserve">they do not constitute a Lowest Achievable Emission Rate, which would be cost prohibitive for presumptive RACT and thus not reasonable. </w:t>
      </w:r>
    </w:p>
    <w:p w14:paraId="30369A57" w14:textId="77777777" w:rsidR="00071A1E" w:rsidRDefault="00071A1E" w:rsidP="00071A1E">
      <w:pPr>
        <w:jc w:val="both"/>
      </w:pPr>
    </w:p>
    <w:p w14:paraId="39CBC6AF" w14:textId="279AA65C" w:rsidR="00071A1E" w:rsidRDefault="00071A1E" w:rsidP="00071A1E">
      <w:pPr>
        <w:jc w:val="both"/>
      </w:pPr>
      <w:r>
        <w:t xml:space="preserve">The Department also </w:t>
      </w:r>
      <w:r w:rsidR="00A14358">
        <w:t xml:space="preserve">proposes to adopt </w:t>
      </w:r>
      <w:r>
        <w:t>the alternative compliance option for fuel burning equipment</w:t>
      </w:r>
      <w:r w:rsidR="00A14358">
        <w:t>,</w:t>
      </w:r>
      <w:r>
        <w:t xml:space="preserve"> </w:t>
      </w:r>
      <w:r w:rsidR="00A14358">
        <w:t xml:space="preserve">finding it </w:t>
      </w:r>
      <w:r>
        <w:t>a cost</w:t>
      </w:r>
      <w:r w:rsidR="001D4D51">
        <w:t>-</w:t>
      </w:r>
      <w:r>
        <w:t>effective compliance method that both achieves the goal of the RACT program and provides for co-pollutant emission reductions.</w:t>
      </w:r>
    </w:p>
    <w:p w14:paraId="59920190" w14:textId="77777777" w:rsidR="00071A1E" w:rsidRDefault="00071A1E" w:rsidP="00071A1E">
      <w:pPr>
        <w:jc w:val="both"/>
      </w:pPr>
    </w:p>
    <w:p w14:paraId="5152D0EC" w14:textId="77777777" w:rsidR="00071A1E" w:rsidRDefault="00071A1E" w:rsidP="00071A1E">
      <w:pPr>
        <w:jc w:val="both"/>
      </w:pPr>
      <w:r>
        <w:t>The Department revis</w:t>
      </w:r>
      <w:r w:rsidR="00837BB1">
        <w:t>es</w:t>
      </w:r>
      <w:r>
        <w:t xml:space="preserve"> the case-by-case RACT process </w:t>
      </w:r>
      <w:r w:rsidR="00837BB1">
        <w:t xml:space="preserve">to </w:t>
      </w:r>
      <w:r>
        <w:t xml:space="preserve">meet all of the </w:t>
      </w:r>
      <w:r w:rsidR="00E80494">
        <w:t xml:space="preserve">CAA </w:t>
      </w:r>
      <w:r>
        <w:t>requirements, including deadlines for emission reductions and the necessity for EPA approval of a cas</w:t>
      </w:r>
      <w:r w:rsidR="00AA4934">
        <w:t>e-by-case RACT application in the</w:t>
      </w:r>
      <w:r w:rsidR="00A14358">
        <w:t xml:space="preserve"> SIP</w:t>
      </w:r>
      <w:r>
        <w:t xml:space="preserve">, while also making efforts to streamline and simplify the </w:t>
      </w:r>
      <w:r w:rsidR="00837BB1">
        <w:t>case-by-</w:t>
      </w:r>
      <w:r w:rsidR="00837BB1">
        <w:lastRenderedPageBreak/>
        <w:t>case RACT process</w:t>
      </w:r>
      <w:r>
        <w:t>.</w:t>
      </w:r>
      <w:r w:rsidR="00884257">
        <w:t xml:space="preserve"> </w:t>
      </w:r>
      <w:r w:rsidRPr="00EF6E5B">
        <w:t xml:space="preserve">Thus the Department also proposes to submit the final </w:t>
      </w:r>
      <w:r w:rsidR="00AA4934">
        <w:t xml:space="preserve">version of this </w:t>
      </w:r>
      <w:r w:rsidRPr="00EF6E5B">
        <w:t>rulemaking as an amendment to the District’s SIP.</w:t>
      </w:r>
      <w:r w:rsidRPr="000151FF">
        <w:t xml:space="preserve"> </w:t>
      </w:r>
    </w:p>
    <w:p w14:paraId="7125BEE1" w14:textId="77777777" w:rsidR="00071A1E" w:rsidRDefault="00071A1E" w:rsidP="00071A1E">
      <w:pPr>
        <w:jc w:val="both"/>
      </w:pPr>
    </w:p>
    <w:p w14:paraId="5018B313" w14:textId="65473F6B" w:rsidR="00567FA4" w:rsidRDefault="00071A1E" w:rsidP="0028518A">
      <w:pPr>
        <w:jc w:val="both"/>
      </w:pPr>
      <w:r>
        <w:t xml:space="preserve">The Department is taking comments on all aspects of this </w:t>
      </w:r>
      <w:r w:rsidR="00AA4934">
        <w:t>rulemaking</w:t>
      </w:r>
      <w:r>
        <w:t xml:space="preserve"> and is specifically requesting comments related to cost or achievability that may demonstrate whether specific NOx limits in this proposal </w:t>
      </w:r>
      <w:r w:rsidR="002D2597">
        <w:t xml:space="preserve">does or does </w:t>
      </w:r>
      <w:r>
        <w:t>not constitute RACT.</w:t>
      </w:r>
    </w:p>
    <w:p w14:paraId="5E9ACB20" w14:textId="77777777" w:rsidR="00071A1E" w:rsidRDefault="00071A1E" w:rsidP="00071A1E">
      <w:pPr>
        <w:ind w:left="1439" w:hangingChars="512" w:hanging="1439"/>
        <w:rPr>
          <w:b/>
          <w:sz w:val="28"/>
          <w:szCs w:val="28"/>
        </w:rPr>
      </w:pPr>
    </w:p>
    <w:p w14:paraId="736F61B0" w14:textId="77777777" w:rsidR="00FA4B51" w:rsidRDefault="00FA4B51" w:rsidP="006A2587">
      <w:pPr>
        <w:ind w:firstLine="1"/>
        <w:rPr>
          <w:b/>
          <w:sz w:val="28"/>
          <w:szCs w:val="28"/>
        </w:rPr>
      </w:pPr>
      <w:r>
        <w:rPr>
          <w:b/>
          <w:sz w:val="28"/>
          <w:szCs w:val="28"/>
        </w:rPr>
        <w:t xml:space="preserve">Chapter 1, </w:t>
      </w:r>
      <w:r w:rsidRPr="006A2587">
        <w:rPr>
          <w:b/>
          <w:sz w:val="28"/>
          <w:szCs w:val="28"/>
        </w:rPr>
        <w:t xml:space="preserve">AIR QUALITY — </w:t>
      </w:r>
      <w:r>
        <w:rPr>
          <w:b/>
          <w:sz w:val="28"/>
          <w:szCs w:val="28"/>
        </w:rPr>
        <w:t>GENERAL RULES, of Title 20 DCMR, ENVIRONMENT, is amended as follows:</w:t>
      </w:r>
    </w:p>
    <w:p w14:paraId="13039FB1" w14:textId="77777777" w:rsidR="00FA4B51" w:rsidRDefault="00FA4B51" w:rsidP="006A2587">
      <w:pPr>
        <w:ind w:firstLine="1"/>
        <w:rPr>
          <w:b/>
          <w:sz w:val="28"/>
          <w:szCs w:val="28"/>
        </w:rPr>
      </w:pPr>
    </w:p>
    <w:p w14:paraId="0D11FB6E" w14:textId="77777777" w:rsidR="00FA4B51" w:rsidRPr="0045530E" w:rsidRDefault="00FA4B51" w:rsidP="00FA4B51">
      <w:pPr>
        <w:jc w:val="both"/>
      </w:pPr>
      <w:r w:rsidRPr="0045530E">
        <w:rPr>
          <w:b/>
          <w:bCs/>
        </w:rPr>
        <w:t xml:space="preserve">Section 199, </w:t>
      </w:r>
      <w:r w:rsidRPr="0045530E">
        <w:rPr>
          <w:rFonts w:ascii="Times New Roman Bold" w:hAnsi="Times New Roman Bold"/>
          <w:b/>
          <w:bCs/>
          <w:caps/>
        </w:rPr>
        <w:t>Definitions</w:t>
      </w:r>
      <w:r>
        <w:rPr>
          <w:b/>
          <w:bCs/>
        </w:rPr>
        <w:t>,</w:t>
      </w:r>
      <w:r w:rsidRPr="0045530E">
        <w:rPr>
          <w:b/>
          <w:bCs/>
        </w:rPr>
        <w:t xml:space="preserve"> is amended </w:t>
      </w:r>
      <w:r w:rsidRPr="0045530E">
        <w:rPr>
          <w:b/>
        </w:rPr>
        <w:t>by adding the following definitions</w:t>
      </w:r>
      <w:r w:rsidRPr="0045530E">
        <w:rPr>
          <w:b/>
          <w:bCs/>
        </w:rPr>
        <w:t>:</w:t>
      </w:r>
      <w:r w:rsidRPr="0045530E">
        <w:t xml:space="preserve"> </w:t>
      </w:r>
    </w:p>
    <w:p w14:paraId="05E7724C" w14:textId="77777777" w:rsidR="00FA4B51" w:rsidRPr="0045530E" w:rsidRDefault="00FA4B51" w:rsidP="00FA4B51"/>
    <w:p w14:paraId="1B187E17" w14:textId="77777777" w:rsidR="00FA4B51" w:rsidRPr="0045530E" w:rsidRDefault="00FA4B51" w:rsidP="00AA4934">
      <w:pPr>
        <w:ind w:left="720" w:hanging="720"/>
      </w:pPr>
      <w:r w:rsidRPr="0045530E">
        <w:rPr>
          <w:b/>
        </w:rPr>
        <w:t>Stationary engine</w:t>
      </w:r>
      <w:r w:rsidRPr="0045530E">
        <w:t xml:space="preserve"> – </w:t>
      </w:r>
      <w:r w:rsidRPr="0045530E">
        <w:rPr>
          <w:iCs/>
        </w:rPr>
        <w:t xml:space="preserve">any compression or spark ignition internal combustion engine which converts heat energy into mechanical work </w:t>
      </w:r>
      <w:r w:rsidRPr="0045530E">
        <w:t>and is not a nonroad engine as defined in 40 CFR § 1068.30.</w:t>
      </w:r>
    </w:p>
    <w:p w14:paraId="15A9FFD7" w14:textId="77777777" w:rsidR="00FA4B51" w:rsidRDefault="00FA4B51" w:rsidP="006A2587">
      <w:pPr>
        <w:ind w:firstLine="1"/>
        <w:rPr>
          <w:b/>
          <w:sz w:val="28"/>
          <w:szCs w:val="28"/>
        </w:rPr>
      </w:pPr>
    </w:p>
    <w:p w14:paraId="35C89986" w14:textId="452D58C9" w:rsidR="006A2587" w:rsidRDefault="006A2587" w:rsidP="006A2587">
      <w:pPr>
        <w:ind w:firstLine="1"/>
        <w:rPr>
          <w:b/>
          <w:sz w:val="28"/>
          <w:szCs w:val="28"/>
        </w:rPr>
      </w:pPr>
      <w:r>
        <w:rPr>
          <w:b/>
          <w:sz w:val="28"/>
          <w:szCs w:val="28"/>
        </w:rPr>
        <w:t>Chapter 8</w:t>
      </w:r>
      <w:r w:rsidR="00FA4B51">
        <w:rPr>
          <w:b/>
          <w:sz w:val="28"/>
          <w:szCs w:val="28"/>
        </w:rPr>
        <w:t xml:space="preserve">, </w:t>
      </w:r>
      <w:r w:rsidRPr="006A2587">
        <w:rPr>
          <w:b/>
          <w:sz w:val="28"/>
          <w:szCs w:val="28"/>
        </w:rPr>
        <w:t>AIR QUALITY — ASBESTOS, SULFUR, NITROGEN OXIDES</w:t>
      </w:r>
      <w:r w:rsidR="00CD715A">
        <w:rPr>
          <w:b/>
          <w:sz w:val="28"/>
          <w:szCs w:val="28"/>
        </w:rPr>
        <w:t>,</w:t>
      </w:r>
      <w:r w:rsidRPr="006A2587">
        <w:rPr>
          <w:b/>
          <w:sz w:val="28"/>
          <w:szCs w:val="28"/>
        </w:rPr>
        <w:t xml:space="preserve"> AND LEAD</w:t>
      </w:r>
      <w:r>
        <w:rPr>
          <w:b/>
          <w:sz w:val="28"/>
          <w:szCs w:val="28"/>
        </w:rPr>
        <w:t>, of Title 20 DCMR, ENVIRONMENT, is amended as follows:</w:t>
      </w:r>
    </w:p>
    <w:p w14:paraId="6BB668EB" w14:textId="77777777" w:rsidR="006A2587" w:rsidRDefault="006A2587" w:rsidP="0010439F">
      <w:pPr>
        <w:ind w:left="1439" w:hangingChars="512" w:hanging="1439"/>
        <w:rPr>
          <w:b/>
          <w:sz w:val="28"/>
          <w:szCs w:val="28"/>
        </w:rPr>
      </w:pPr>
    </w:p>
    <w:p w14:paraId="4FE3E4E6" w14:textId="77777777" w:rsidR="006A2587" w:rsidRDefault="006A2587" w:rsidP="006A2587">
      <w:pPr>
        <w:ind w:firstLine="1"/>
        <w:rPr>
          <w:b/>
          <w:sz w:val="28"/>
          <w:szCs w:val="28"/>
        </w:rPr>
      </w:pPr>
      <w:r>
        <w:rPr>
          <w:b/>
          <w:sz w:val="28"/>
          <w:szCs w:val="28"/>
        </w:rPr>
        <w:t xml:space="preserve">Section 805 </w:t>
      </w:r>
      <w:r w:rsidRPr="006A2587">
        <w:rPr>
          <w:b/>
          <w:sz w:val="28"/>
          <w:szCs w:val="28"/>
        </w:rPr>
        <w:t>REASONABLY AVAILABLE CONTROL TECHNOLOGY FOR MAJOR STATIONARY SOURCES OF THE OXIDES OF NITROGEN</w:t>
      </w:r>
      <w:r>
        <w:rPr>
          <w:b/>
          <w:sz w:val="28"/>
          <w:szCs w:val="28"/>
        </w:rPr>
        <w:t xml:space="preserve"> is amended to read as follows:</w:t>
      </w:r>
    </w:p>
    <w:p w14:paraId="74D12A30" w14:textId="77777777" w:rsidR="006A2587" w:rsidRDefault="006A2587" w:rsidP="0010439F">
      <w:pPr>
        <w:ind w:left="1439" w:hangingChars="512" w:hanging="1439"/>
        <w:rPr>
          <w:b/>
          <w:sz w:val="28"/>
          <w:szCs w:val="28"/>
        </w:rPr>
      </w:pPr>
    </w:p>
    <w:p w14:paraId="174C5D17" w14:textId="77777777" w:rsidR="00B2332B" w:rsidRPr="0045530E" w:rsidRDefault="004965BE" w:rsidP="0010439F">
      <w:pPr>
        <w:ind w:left="1439" w:hangingChars="512" w:hanging="1439"/>
        <w:rPr>
          <w:b/>
          <w:sz w:val="28"/>
          <w:szCs w:val="28"/>
        </w:rPr>
      </w:pPr>
      <w:r>
        <w:rPr>
          <w:b/>
          <w:sz w:val="28"/>
          <w:szCs w:val="28"/>
        </w:rPr>
        <w:t xml:space="preserve"> </w:t>
      </w:r>
      <w:r w:rsidR="00B2332B" w:rsidRPr="0045530E">
        <w:rPr>
          <w:b/>
          <w:sz w:val="28"/>
          <w:szCs w:val="28"/>
        </w:rPr>
        <w:t>805</w:t>
      </w:r>
      <w:r w:rsidR="00B2332B" w:rsidRPr="0045530E">
        <w:rPr>
          <w:b/>
          <w:sz w:val="28"/>
          <w:szCs w:val="28"/>
        </w:rPr>
        <w:tab/>
        <w:t>REASONABLY AVAILABLE CONTROL TECHNOLOGY FOR MAJOR STATIONARY SOURCES OF THE OXIDES OF NITROGEN</w:t>
      </w:r>
    </w:p>
    <w:p w14:paraId="679BF353" w14:textId="77777777" w:rsidR="00B2332B" w:rsidRPr="0045530E" w:rsidRDefault="00B2332B" w:rsidP="00B2332B">
      <w:pPr>
        <w:ind w:left="800" w:hangingChars="400" w:hanging="800"/>
        <w:rPr>
          <w:sz w:val="20"/>
          <w:szCs w:val="20"/>
        </w:rPr>
      </w:pPr>
    </w:p>
    <w:p w14:paraId="64D2AB4A" w14:textId="5FFE6DC2" w:rsidR="00B2332B" w:rsidRPr="0045530E" w:rsidRDefault="00B2332B" w:rsidP="00B2332B">
      <w:pPr>
        <w:ind w:left="1440" w:hangingChars="600" w:hanging="1440"/>
        <w:jc w:val="both"/>
      </w:pPr>
      <w:r w:rsidRPr="0045530E">
        <w:t>805.1</w:t>
      </w:r>
      <w:r w:rsidRPr="0045530E">
        <w:tab/>
      </w:r>
      <w:r w:rsidR="00660220" w:rsidRPr="0045530E">
        <w:rPr>
          <w:i/>
        </w:rPr>
        <w:t>Applicability.</w:t>
      </w:r>
      <w:r w:rsidR="00660220" w:rsidRPr="0045530E">
        <w:t xml:space="preserve">  </w:t>
      </w:r>
      <w:r w:rsidRPr="0045530E">
        <w:t>The requirements of § 805 shall apply to any person pursuant to the following provisions:</w:t>
      </w:r>
    </w:p>
    <w:p w14:paraId="0102248E" w14:textId="77777777" w:rsidR="00B2332B" w:rsidRPr="0045530E" w:rsidRDefault="00B2332B" w:rsidP="00B2332B">
      <w:pPr>
        <w:ind w:left="960" w:hangingChars="400" w:hanging="960"/>
        <w:jc w:val="both"/>
      </w:pPr>
    </w:p>
    <w:p w14:paraId="4A4119ED" w14:textId="3EC599FF" w:rsidR="00B2332B" w:rsidRPr="0045530E" w:rsidRDefault="00B2332B" w:rsidP="00AA1174">
      <w:pPr>
        <w:ind w:leftChars="600" w:left="2160" w:hangingChars="300" w:hanging="720"/>
        <w:jc w:val="both"/>
      </w:pPr>
      <w:r w:rsidRPr="0045530E">
        <w:t>(a)</w:t>
      </w:r>
      <w:r w:rsidRPr="0045530E">
        <w:tab/>
        <w:t xml:space="preserve">Any person owning, leasing, operating, or controlling any major stationary source having the potential to emit twenty-five (25) tons per year or </w:t>
      </w:r>
      <w:r w:rsidR="002D703B" w:rsidRPr="0045530E">
        <w:t>greater</w:t>
      </w:r>
      <w:r w:rsidRPr="0045530E">
        <w:t xml:space="preserve"> of oxides of nitrogen</w:t>
      </w:r>
      <w:r w:rsidR="004D169D">
        <w:t xml:space="preserve"> shall comply with the requirements of </w:t>
      </w:r>
      <w:r w:rsidR="000747C2" w:rsidRPr="0045530E">
        <w:t>§ 805</w:t>
      </w:r>
      <w:r w:rsidRPr="0045530E">
        <w:t xml:space="preserve">, </w:t>
      </w:r>
      <w:r w:rsidR="00CD415F" w:rsidRPr="0045530E">
        <w:t>excepting those specified in § 805.1(c)</w:t>
      </w:r>
      <w:r w:rsidR="000747C2">
        <w:t>.</w:t>
      </w:r>
    </w:p>
    <w:p w14:paraId="3E8C77BC" w14:textId="77777777" w:rsidR="00B2332B" w:rsidRPr="0045530E" w:rsidRDefault="00B2332B" w:rsidP="00B2332B">
      <w:pPr>
        <w:ind w:left="960" w:hangingChars="400" w:hanging="960"/>
        <w:jc w:val="both"/>
      </w:pPr>
    </w:p>
    <w:p w14:paraId="2DDA360C" w14:textId="3DB1A267" w:rsidR="00B2332B" w:rsidRPr="0045530E" w:rsidRDefault="00B2332B" w:rsidP="00B2332B">
      <w:pPr>
        <w:ind w:leftChars="600" w:left="2160" w:hangingChars="300" w:hanging="720"/>
        <w:jc w:val="both"/>
      </w:pPr>
      <w:r w:rsidRPr="0045530E">
        <w:t>(b)</w:t>
      </w:r>
      <w:r w:rsidRPr="0045530E">
        <w:tab/>
        <w:t>Any person owning, leasing, operating</w:t>
      </w:r>
      <w:r w:rsidR="008C0822">
        <w:t>,</w:t>
      </w:r>
      <w:r w:rsidRPr="0045530E">
        <w:t xml:space="preserve"> or controlling a major stationary source </w:t>
      </w:r>
      <w:r w:rsidR="008C0822">
        <w:t xml:space="preserve">that is or was at any time </w:t>
      </w:r>
      <w:r w:rsidRPr="0045530E">
        <w:t>subject to § 805 shall continue to comply with all requirements of § 805, even if emissions from the subject major stationary source no longer exceed the twenty-five (25) ton per year applicability requirement of § 805</w:t>
      </w:r>
      <w:r w:rsidR="000747C2">
        <w:t>.</w:t>
      </w:r>
    </w:p>
    <w:p w14:paraId="27584087" w14:textId="77777777" w:rsidR="00B2332B" w:rsidRPr="0045530E" w:rsidRDefault="00B2332B" w:rsidP="00B2332B">
      <w:pPr>
        <w:ind w:leftChars="600" w:left="2160" w:hangingChars="300" w:hanging="720"/>
        <w:jc w:val="both"/>
      </w:pPr>
    </w:p>
    <w:p w14:paraId="7FB05088" w14:textId="62B0304B" w:rsidR="00B2332B" w:rsidRPr="0045530E" w:rsidRDefault="00B2332B" w:rsidP="00B2332B">
      <w:pPr>
        <w:ind w:leftChars="600" w:left="2160" w:hangingChars="300" w:hanging="720"/>
        <w:jc w:val="both"/>
      </w:pPr>
      <w:r w:rsidRPr="0045530E">
        <w:t>(c)</w:t>
      </w:r>
      <w:r w:rsidRPr="0045530E">
        <w:tab/>
        <w:t>The requirements of § 805 shall not apply to:</w:t>
      </w:r>
    </w:p>
    <w:p w14:paraId="2A0E7B47" w14:textId="77777777" w:rsidR="00B2332B" w:rsidRPr="0045530E" w:rsidRDefault="00B2332B" w:rsidP="00B2332B">
      <w:pPr>
        <w:ind w:left="960" w:hangingChars="400" w:hanging="960"/>
        <w:jc w:val="both"/>
      </w:pPr>
    </w:p>
    <w:p w14:paraId="089C0EAA" w14:textId="1C399626" w:rsidR="000747C2" w:rsidRDefault="00B2332B" w:rsidP="00B2332B">
      <w:pPr>
        <w:ind w:leftChars="900" w:left="2880" w:hangingChars="300" w:hanging="720"/>
        <w:jc w:val="both"/>
      </w:pPr>
      <w:r w:rsidRPr="0045530E">
        <w:lastRenderedPageBreak/>
        <w:t>(1)</w:t>
      </w:r>
      <w:r w:rsidRPr="0045530E">
        <w:tab/>
        <w:t xml:space="preserve">Any person subject to § 805 who is able to demonstrate to the </w:t>
      </w:r>
      <w:r w:rsidR="0065246D" w:rsidRPr="0045530E">
        <w:t>Department</w:t>
      </w:r>
      <w:r w:rsidRPr="0045530E">
        <w:t xml:space="preserve"> that, since January 1, 1990, the major stationary source has not emitted, before the application of air pollution control equipment, twenty</w:t>
      </w:r>
      <w:r w:rsidR="008A508E" w:rsidRPr="0045530E">
        <w:t xml:space="preserve"> </w:t>
      </w:r>
      <w:r w:rsidRPr="0045530E">
        <w:t xml:space="preserve">five (25) tons per year or </w:t>
      </w:r>
      <w:r w:rsidR="002D703B" w:rsidRPr="0045530E">
        <w:t>greater</w:t>
      </w:r>
      <w:r w:rsidRPr="0045530E">
        <w:t xml:space="preserve"> of </w:t>
      </w:r>
      <w:r w:rsidR="001259C9" w:rsidRPr="0045530E">
        <w:t>NOx</w:t>
      </w:r>
      <w:r w:rsidRPr="0045530E">
        <w:t xml:space="preserve"> in any year provided that</w:t>
      </w:r>
      <w:r w:rsidR="000747C2">
        <w:t>:</w:t>
      </w:r>
      <w:r w:rsidRPr="0045530E">
        <w:t xml:space="preserve"> </w:t>
      </w:r>
    </w:p>
    <w:p w14:paraId="65EB4840" w14:textId="77777777" w:rsidR="000747C2" w:rsidRDefault="000747C2" w:rsidP="00B2332B">
      <w:pPr>
        <w:ind w:leftChars="900" w:left="2880" w:hangingChars="300" w:hanging="720"/>
        <w:jc w:val="both"/>
      </w:pPr>
    </w:p>
    <w:p w14:paraId="0E3FBDCF" w14:textId="6841EEAB" w:rsidR="000747C2" w:rsidRDefault="005344A1" w:rsidP="003D72EF">
      <w:pPr>
        <w:pStyle w:val="ListParagraph"/>
        <w:numPr>
          <w:ilvl w:val="0"/>
          <w:numId w:val="25"/>
        </w:numPr>
        <w:jc w:val="both"/>
      </w:pPr>
      <w:r>
        <w:t>T</w:t>
      </w:r>
      <w:r w:rsidRPr="0045530E">
        <w:t xml:space="preserve">he </w:t>
      </w:r>
      <w:r w:rsidR="00B2332B" w:rsidRPr="0045530E">
        <w:t xml:space="preserve">person obtains a permit </w:t>
      </w:r>
      <w:r w:rsidR="00F1235E" w:rsidRPr="0045530E">
        <w:t>pursuant to 20 DCMR § 200.7</w:t>
      </w:r>
      <w:r w:rsidR="00B2332B" w:rsidRPr="0045530E">
        <w:t xml:space="preserve"> </w:t>
      </w:r>
      <w:r w:rsidR="008C0822">
        <w:t xml:space="preserve">that limits </w:t>
      </w:r>
      <w:r w:rsidR="00B2332B" w:rsidRPr="0045530E">
        <w:t>the potential to emit to less than twenty-five (25) tons per year</w:t>
      </w:r>
      <w:r w:rsidR="000747C2">
        <w:t>;</w:t>
      </w:r>
      <w:r w:rsidR="00B2332B" w:rsidRPr="0045530E">
        <w:t xml:space="preserve"> and </w:t>
      </w:r>
    </w:p>
    <w:p w14:paraId="3E6159A8" w14:textId="77777777" w:rsidR="000747C2" w:rsidRDefault="000747C2" w:rsidP="003D72EF">
      <w:pPr>
        <w:pStyle w:val="ListParagraph"/>
        <w:ind w:left="3600"/>
        <w:jc w:val="both"/>
      </w:pPr>
    </w:p>
    <w:p w14:paraId="37B9695C" w14:textId="4AE307C9" w:rsidR="00B2332B" w:rsidRPr="0045530E" w:rsidRDefault="005344A1" w:rsidP="003D72EF">
      <w:pPr>
        <w:pStyle w:val="ListParagraph"/>
        <w:numPr>
          <w:ilvl w:val="0"/>
          <w:numId w:val="25"/>
        </w:numPr>
        <w:jc w:val="both"/>
      </w:pPr>
      <w:r>
        <w:t>T</w:t>
      </w:r>
      <w:r w:rsidRPr="0045530E">
        <w:t xml:space="preserve">he </w:t>
      </w:r>
      <w:r w:rsidR="00B2332B" w:rsidRPr="0045530E">
        <w:t xml:space="preserve">permit is transmitted to and approved by EPA as a revision to the District's State Implementation Plan; </w:t>
      </w:r>
    </w:p>
    <w:p w14:paraId="5F14C648" w14:textId="77777777" w:rsidR="00CD415F" w:rsidRPr="0045530E" w:rsidRDefault="00B2332B" w:rsidP="00CD415F">
      <w:pPr>
        <w:ind w:leftChars="900" w:left="2880" w:hangingChars="300" w:hanging="720"/>
        <w:jc w:val="both"/>
      </w:pPr>
      <w:r w:rsidRPr="0045530E">
        <w:t>(2)</w:t>
      </w:r>
      <w:r w:rsidRPr="0045530E">
        <w:tab/>
      </w:r>
      <w:r w:rsidR="00346907" w:rsidRPr="0045530E">
        <w:t xml:space="preserve">Any </w:t>
      </w:r>
      <w:r w:rsidR="00BC13A9" w:rsidRPr="0045530E">
        <w:t>fuel b</w:t>
      </w:r>
      <w:r w:rsidR="00CD415F" w:rsidRPr="0045530E">
        <w:t>urning equipment having a</w:t>
      </w:r>
      <w:r w:rsidR="00A559A2" w:rsidRPr="0045530E">
        <w:t xml:space="preserve"> heat </w:t>
      </w:r>
      <w:r w:rsidR="00CD415F" w:rsidRPr="0045530E">
        <w:t>input capacity of less than five million (5,000,000) BTU per hour</w:t>
      </w:r>
      <w:r w:rsidR="00346907" w:rsidRPr="0045530E">
        <w:t xml:space="preserve">; </w:t>
      </w:r>
    </w:p>
    <w:p w14:paraId="3B07A374" w14:textId="77777777" w:rsidR="00FA289A" w:rsidRPr="0045530E" w:rsidRDefault="00FA289A" w:rsidP="00CD415F">
      <w:pPr>
        <w:ind w:leftChars="900" w:left="2880" w:hangingChars="300" w:hanging="720"/>
        <w:jc w:val="both"/>
      </w:pPr>
    </w:p>
    <w:p w14:paraId="2F16772D" w14:textId="77777777" w:rsidR="00FA289A" w:rsidRPr="0045530E" w:rsidRDefault="00FA289A" w:rsidP="00CD415F">
      <w:pPr>
        <w:ind w:leftChars="900" w:left="2880" w:hangingChars="300" w:hanging="720"/>
        <w:jc w:val="both"/>
      </w:pPr>
      <w:r w:rsidRPr="0045530E">
        <w:t>(3)</w:t>
      </w:r>
      <w:r w:rsidRPr="0045530E">
        <w:tab/>
        <w:t>Any stationary engine having a maximum rated mechanical power output of less than fifty (50) horsepower;</w:t>
      </w:r>
    </w:p>
    <w:p w14:paraId="0BE6D19E" w14:textId="77777777" w:rsidR="00CD415F" w:rsidRPr="0045530E" w:rsidRDefault="00CD415F" w:rsidP="00CD415F">
      <w:pPr>
        <w:ind w:leftChars="900" w:left="2880" w:hangingChars="300" w:hanging="720"/>
        <w:jc w:val="both"/>
      </w:pPr>
    </w:p>
    <w:p w14:paraId="31044CD4" w14:textId="70E9F337" w:rsidR="00CD415F" w:rsidRPr="0045530E" w:rsidRDefault="00CD415F" w:rsidP="00CD415F">
      <w:pPr>
        <w:ind w:leftChars="900" w:left="2880" w:hangingChars="300" w:hanging="720"/>
        <w:jc w:val="both"/>
      </w:pPr>
      <w:r w:rsidRPr="0045530E">
        <w:t>(</w:t>
      </w:r>
      <w:r w:rsidR="00FA289A" w:rsidRPr="0045530E">
        <w:t>4</w:t>
      </w:r>
      <w:r w:rsidRPr="0045530E">
        <w:t>)</w:t>
      </w:r>
      <w:r w:rsidRPr="0045530E">
        <w:tab/>
        <w:t>Any individual emission unit at a major stationary source of NO</w:t>
      </w:r>
      <w:r w:rsidR="001259C9" w:rsidRPr="0045530E">
        <w:t>x</w:t>
      </w:r>
      <w:r w:rsidRPr="0045530E">
        <w:t xml:space="preserve"> having the potential to emit less than one (1) ton per year of NO</w:t>
      </w:r>
      <w:r w:rsidR="001259C9" w:rsidRPr="0045530E">
        <w:t>x</w:t>
      </w:r>
      <w:r w:rsidRPr="0045530E">
        <w:t xml:space="preserve">, except those emission units with specific requirements listed in </w:t>
      </w:r>
      <w:r w:rsidR="002F1804" w:rsidRPr="0045530E">
        <w:t xml:space="preserve">§§  805.4 </w:t>
      </w:r>
      <w:r w:rsidR="008D3A25">
        <w:t xml:space="preserve">- </w:t>
      </w:r>
      <w:r w:rsidR="002F1804" w:rsidRPr="0045530E">
        <w:t>805.7</w:t>
      </w:r>
      <w:r w:rsidRPr="0045530E">
        <w:t>; and</w:t>
      </w:r>
    </w:p>
    <w:p w14:paraId="0D041DDC" w14:textId="77777777" w:rsidR="00346907" w:rsidRPr="0045530E" w:rsidRDefault="00346907" w:rsidP="00262C52">
      <w:pPr>
        <w:jc w:val="both"/>
      </w:pPr>
    </w:p>
    <w:p w14:paraId="71FA4747" w14:textId="77777777" w:rsidR="00B3191C" w:rsidRDefault="00346907" w:rsidP="00B2332B">
      <w:pPr>
        <w:ind w:leftChars="900" w:left="2880" w:hangingChars="300" w:hanging="720"/>
        <w:jc w:val="both"/>
      </w:pPr>
      <w:r w:rsidRPr="0045530E">
        <w:t>(</w:t>
      </w:r>
      <w:r w:rsidR="00FA289A" w:rsidRPr="0045530E">
        <w:t>5</w:t>
      </w:r>
      <w:r w:rsidR="00B2332B" w:rsidRPr="0045530E">
        <w:t>)</w:t>
      </w:r>
      <w:r w:rsidR="00B2332B" w:rsidRPr="0045530E">
        <w:tab/>
        <w:t xml:space="preserve">Emergency standby engines operated </w:t>
      </w:r>
      <w:r w:rsidR="00B3191C" w:rsidRPr="0045530E">
        <w:t>during any twelve (12) consecutive month period</w:t>
      </w:r>
      <w:r w:rsidR="00B3191C">
        <w:t>:</w:t>
      </w:r>
      <w:r w:rsidR="00B3191C" w:rsidRPr="0045530E">
        <w:t xml:space="preserve"> </w:t>
      </w:r>
    </w:p>
    <w:p w14:paraId="298D5E23" w14:textId="77777777" w:rsidR="00B3191C" w:rsidRDefault="00B3191C" w:rsidP="00B2332B">
      <w:pPr>
        <w:ind w:leftChars="900" w:left="2880" w:hangingChars="300" w:hanging="720"/>
        <w:jc w:val="both"/>
      </w:pPr>
    </w:p>
    <w:p w14:paraId="2F613B8F" w14:textId="6BA6E8AE" w:rsidR="00B3191C" w:rsidRDefault="005344A1" w:rsidP="003D72EF">
      <w:pPr>
        <w:pStyle w:val="ListParagraph"/>
        <w:numPr>
          <w:ilvl w:val="0"/>
          <w:numId w:val="26"/>
        </w:numPr>
        <w:jc w:val="both"/>
      </w:pPr>
      <w:r>
        <w:t>L</w:t>
      </w:r>
      <w:r w:rsidRPr="0045530E">
        <w:t xml:space="preserve">ess </w:t>
      </w:r>
      <w:r w:rsidR="00B2332B" w:rsidRPr="0045530E">
        <w:t xml:space="preserve">than five hundred (500) hours </w:t>
      </w:r>
      <w:r w:rsidR="00FA289A" w:rsidRPr="0045530E">
        <w:t>for any purpose</w:t>
      </w:r>
      <w:r w:rsidR="00B3191C">
        <w:t>;</w:t>
      </w:r>
      <w:r w:rsidR="00FA289A" w:rsidRPr="0045530E">
        <w:t xml:space="preserve"> and </w:t>
      </w:r>
    </w:p>
    <w:p w14:paraId="4036A46E" w14:textId="77777777" w:rsidR="00B3191C" w:rsidRDefault="00B3191C" w:rsidP="003D72EF">
      <w:pPr>
        <w:pStyle w:val="ListParagraph"/>
        <w:ind w:left="3600"/>
        <w:jc w:val="both"/>
      </w:pPr>
    </w:p>
    <w:p w14:paraId="0B4EF4BE" w14:textId="2906137C" w:rsidR="00B2332B" w:rsidRPr="0045530E" w:rsidRDefault="005344A1" w:rsidP="003D72EF">
      <w:pPr>
        <w:pStyle w:val="ListParagraph"/>
        <w:numPr>
          <w:ilvl w:val="0"/>
          <w:numId w:val="26"/>
        </w:numPr>
        <w:jc w:val="both"/>
      </w:pPr>
      <w:r>
        <w:t>L</w:t>
      </w:r>
      <w:r w:rsidRPr="0045530E">
        <w:t xml:space="preserve">ess </w:t>
      </w:r>
      <w:r w:rsidR="00FA289A" w:rsidRPr="0045530E">
        <w:t>than one hundred (100) hours for maintenance and testing</w:t>
      </w:r>
      <w:r w:rsidR="00B2332B" w:rsidRPr="0045530E">
        <w:t>.</w:t>
      </w:r>
    </w:p>
    <w:p w14:paraId="6F0FDC43" w14:textId="77777777" w:rsidR="00B2332B" w:rsidRPr="0045530E" w:rsidRDefault="00B2332B" w:rsidP="00B2332B">
      <w:pPr>
        <w:ind w:left="960" w:hangingChars="400" w:hanging="960"/>
        <w:jc w:val="both"/>
      </w:pPr>
    </w:p>
    <w:p w14:paraId="4E81DBDE" w14:textId="77777777" w:rsidR="008773DB" w:rsidRPr="0045530E" w:rsidRDefault="00B2332B" w:rsidP="00BC13A9">
      <w:pPr>
        <w:ind w:left="1440" w:hangingChars="600" w:hanging="1440"/>
        <w:jc w:val="both"/>
      </w:pPr>
      <w:r w:rsidRPr="0045530E">
        <w:t>805.2</w:t>
      </w:r>
      <w:r w:rsidRPr="0045530E">
        <w:tab/>
      </w:r>
      <w:r w:rsidR="00660220" w:rsidRPr="0045530E">
        <w:rPr>
          <w:i/>
        </w:rPr>
        <w:t xml:space="preserve">Alternative RACT.  </w:t>
      </w:r>
      <w:r w:rsidRPr="0045530E">
        <w:t xml:space="preserve">Any person regulated under § 805 may apply to the </w:t>
      </w:r>
      <w:r w:rsidR="0065246D" w:rsidRPr="0045530E">
        <w:t>Department</w:t>
      </w:r>
      <w:r w:rsidRPr="0045530E">
        <w:t xml:space="preserve"> for an alternative emission limitation</w:t>
      </w:r>
      <w:r w:rsidR="00FF6160" w:rsidRPr="0045530E">
        <w:t xml:space="preserve"> for a source-specific Reasonably Available </w:t>
      </w:r>
      <w:r w:rsidR="008C0822">
        <w:t>C</w:t>
      </w:r>
      <w:r w:rsidR="00FF6160" w:rsidRPr="0045530E">
        <w:t>ontrol Technology (</w:t>
      </w:r>
      <w:r w:rsidR="00201F88" w:rsidRPr="0045530E">
        <w:t xml:space="preserve">alternative </w:t>
      </w:r>
      <w:r w:rsidR="00FF6160" w:rsidRPr="0045530E">
        <w:t>RACT)</w:t>
      </w:r>
      <w:r w:rsidR="005E20BD" w:rsidRPr="0045530E">
        <w:t>.</w:t>
      </w:r>
      <w:r w:rsidR="00FF6160" w:rsidRPr="0045530E">
        <w:t xml:space="preserve">   </w:t>
      </w:r>
    </w:p>
    <w:p w14:paraId="66DCB248" w14:textId="77777777" w:rsidR="008773DB" w:rsidRPr="0045530E" w:rsidRDefault="008773DB" w:rsidP="00BC13A9">
      <w:pPr>
        <w:ind w:left="1440" w:hangingChars="600" w:hanging="1440"/>
        <w:jc w:val="both"/>
      </w:pPr>
      <w:r w:rsidRPr="0045530E">
        <w:tab/>
      </w:r>
    </w:p>
    <w:p w14:paraId="3BB05DCE" w14:textId="77777777" w:rsidR="005E20BD" w:rsidRPr="0045530E" w:rsidRDefault="008773DB" w:rsidP="00170A35">
      <w:pPr>
        <w:ind w:left="2160" w:hanging="720"/>
        <w:jc w:val="both"/>
      </w:pPr>
      <w:r w:rsidRPr="0045530E">
        <w:t xml:space="preserve">(a) </w:t>
      </w:r>
      <w:r w:rsidR="00B3191C">
        <w:tab/>
      </w:r>
      <w:r w:rsidR="005E20BD" w:rsidRPr="0045530E">
        <w:t xml:space="preserve">Any person may apply for an alternative RACT </w:t>
      </w:r>
      <w:r w:rsidR="00C8399D">
        <w:t xml:space="preserve">when submitting an </w:t>
      </w:r>
      <w:r w:rsidR="005E20BD" w:rsidRPr="0045530E">
        <w:t xml:space="preserve">application pursuant to § 200 for initial permitting of a </w:t>
      </w:r>
      <w:r w:rsidR="008743DB" w:rsidRPr="0045530E">
        <w:t xml:space="preserve">new </w:t>
      </w:r>
      <w:r w:rsidR="005E20BD" w:rsidRPr="0045530E">
        <w:t>emissions unit or modification of an existing emissions unit.</w:t>
      </w:r>
    </w:p>
    <w:p w14:paraId="780B8605" w14:textId="77777777" w:rsidR="005E20BD" w:rsidRPr="0045530E" w:rsidRDefault="005E20BD" w:rsidP="00170A35">
      <w:pPr>
        <w:ind w:leftChars="900" w:left="2880" w:hanging="720"/>
        <w:jc w:val="both"/>
      </w:pPr>
      <w:r w:rsidRPr="0045530E">
        <w:tab/>
      </w:r>
    </w:p>
    <w:p w14:paraId="6D215404" w14:textId="77777777" w:rsidR="005E20BD" w:rsidRPr="0045530E" w:rsidRDefault="005E20BD" w:rsidP="00170A35">
      <w:pPr>
        <w:ind w:leftChars="600" w:left="2160" w:hanging="720"/>
        <w:jc w:val="both"/>
      </w:pPr>
      <w:r w:rsidRPr="0045530E">
        <w:t xml:space="preserve">(b) </w:t>
      </w:r>
      <w:r w:rsidR="00B3191C">
        <w:tab/>
      </w:r>
      <w:r w:rsidRPr="0045530E">
        <w:t xml:space="preserve">Any person </w:t>
      </w:r>
      <w:r w:rsidR="008743DB" w:rsidRPr="0045530E">
        <w:t>operating an existing unit</w:t>
      </w:r>
      <w:r w:rsidRPr="0045530E">
        <w:t xml:space="preserve"> </w:t>
      </w:r>
      <w:r w:rsidR="00C8399D">
        <w:t xml:space="preserve">on the effective date </w:t>
      </w:r>
      <w:r w:rsidRPr="0045530E">
        <w:t xml:space="preserve">of this regulation and seeking an alternative RACT shall apply to the Department by </w:t>
      </w:r>
      <w:r w:rsidR="00CB060E">
        <w:t>January 1</w:t>
      </w:r>
      <w:r w:rsidRPr="0045530E">
        <w:t xml:space="preserve">, 2022. </w:t>
      </w:r>
    </w:p>
    <w:p w14:paraId="32A1145E" w14:textId="77777777" w:rsidR="005E20BD" w:rsidRPr="0045530E" w:rsidRDefault="005E20BD" w:rsidP="00170A35">
      <w:pPr>
        <w:ind w:leftChars="600" w:left="2160" w:hanging="720"/>
        <w:jc w:val="both"/>
      </w:pPr>
      <w:r w:rsidRPr="0045530E" w:rsidDel="005E20BD">
        <w:t xml:space="preserve"> </w:t>
      </w:r>
    </w:p>
    <w:p w14:paraId="689717D0" w14:textId="77777777" w:rsidR="00B2332B" w:rsidRPr="0045530E" w:rsidRDefault="005E20BD" w:rsidP="00170A35">
      <w:pPr>
        <w:ind w:leftChars="600" w:left="2160" w:hanging="720"/>
        <w:jc w:val="both"/>
      </w:pPr>
      <w:r w:rsidRPr="0045530E">
        <w:t xml:space="preserve">(c) </w:t>
      </w:r>
      <w:r w:rsidR="00B3191C">
        <w:tab/>
      </w:r>
      <w:r w:rsidRPr="0045530E">
        <w:t>All applications for an alternative RACT shall:</w:t>
      </w:r>
    </w:p>
    <w:p w14:paraId="07797336" w14:textId="77777777" w:rsidR="00B2332B" w:rsidRPr="0045530E" w:rsidRDefault="00B2332B" w:rsidP="00B2332B">
      <w:pPr>
        <w:ind w:left="960" w:hangingChars="400" w:hanging="960"/>
        <w:jc w:val="both"/>
      </w:pPr>
    </w:p>
    <w:p w14:paraId="5945A0A1" w14:textId="77777777" w:rsidR="007C146E" w:rsidRPr="0045530E" w:rsidRDefault="00B2332B" w:rsidP="00170A35">
      <w:pPr>
        <w:ind w:leftChars="900" w:left="2880" w:hangingChars="300" w:hanging="720"/>
        <w:jc w:val="both"/>
      </w:pPr>
      <w:r w:rsidRPr="0045530E">
        <w:t>(</w:t>
      </w:r>
      <w:r w:rsidR="005E20BD" w:rsidRPr="0045530E">
        <w:t>1</w:t>
      </w:r>
      <w:r w:rsidRPr="0045530E">
        <w:t>)</w:t>
      </w:r>
      <w:r w:rsidRPr="0045530E">
        <w:tab/>
        <w:t xml:space="preserve">Demonstrate to the </w:t>
      </w:r>
      <w:r w:rsidR="0065246D" w:rsidRPr="0045530E">
        <w:t>Department</w:t>
      </w:r>
      <w:r w:rsidRPr="0045530E">
        <w:t xml:space="preserve"> that it is not technologically or economically feasible for that </w:t>
      </w:r>
      <w:r w:rsidR="00A91DA9" w:rsidRPr="0045530E">
        <w:t>emissions unit</w:t>
      </w:r>
      <w:r w:rsidR="00940DCD" w:rsidRPr="0045530E">
        <w:t xml:space="preserve"> </w:t>
      </w:r>
      <w:r w:rsidRPr="0045530E">
        <w:t>to comply with the applicable emission limitation</w:t>
      </w:r>
      <w:r w:rsidR="007C146E" w:rsidRPr="0045530E">
        <w:t>;</w:t>
      </w:r>
    </w:p>
    <w:p w14:paraId="5F301B4D" w14:textId="77777777" w:rsidR="00B2332B" w:rsidRPr="0045530E" w:rsidRDefault="00B2332B" w:rsidP="00170A35">
      <w:pPr>
        <w:ind w:leftChars="900" w:left="2880" w:hangingChars="300" w:hanging="720"/>
        <w:jc w:val="both"/>
      </w:pPr>
    </w:p>
    <w:p w14:paraId="53943881" w14:textId="77777777" w:rsidR="007C146E" w:rsidRPr="0045530E" w:rsidRDefault="007C146E" w:rsidP="00170A35">
      <w:pPr>
        <w:ind w:leftChars="900" w:left="2880" w:hangingChars="300" w:hanging="720"/>
        <w:jc w:val="both"/>
      </w:pPr>
      <w:r w:rsidRPr="0045530E">
        <w:t>(</w:t>
      </w:r>
      <w:r w:rsidR="005E20BD" w:rsidRPr="0045530E">
        <w:t>2</w:t>
      </w:r>
      <w:r w:rsidRPr="0045530E">
        <w:t>)</w:t>
      </w:r>
      <w:r w:rsidRPr="0045530E">
        <w:tab/>
      </w:r>
      <w:r w:rsidR="008743DB" w:rsidRPr="0045530E">
        <w:t xml:space="preserve">Provide to the Department a </w:t>
      </w:r>
      <w:r w:rsidRPr="0045530E">
        <w:t xml:space="preserve">study of the capability of the </w:t>
      </w:r>
      <w:r w:rsidR="00A91DA9" w:rsidRPr="0045530E">
        <w:t xml:space="preserve">emissions unit </w:t>
      </w:r>
      <w:r w:rsidR="00902425" w:rsidRPr="0045530E">
        <w:t xml:space="preserve">to apply the </w:t>
      </w:r>
      <w:r w:rsidRPr="0045530E">
        <w:t>following NO</w:t>
      </w:r>
      <w:r w:rsidR="008A253D" w:rsidRPr="0045530E">
        <w:t>x</w:t>
      </w:r>
      <w:r w:rsidRPr="0045530E">
        <w:t xml:space="preserve"> control options</w:t>
      </w:r>
      <w:r w:rsidR="00307637" w:rsidRPr="0045530E">
        <w:t xml:space="preserve"> and their expected effectiveness</w:t>
      </w:r>
      <w:r w:rsidRPr="0045530E">
        <w:t>:</w:t>
      </w:r>
    </w:p>
    <w:p w14:paraId="78489D67" w14:textId="77777777" w:rsidR="007C146E" w:rsidRPr="0045530E" w:rsidRDefault="007C146E" w:rsidP="00DC12D9">
      <w:pPr>
        <w:ind w:leftChars="1200" w:left="3600" w:hangingChars="300" w:hanging="720"/>
        <w:jc w:val="both"/>
      </w:pPr>
      <w:r w:rsidRPr="0045530E">
        <w:t xml:space="preserve"> </w:t>
      </w:r>
      <w:r w:rsidR="00DC12D9" w:rsidRPr="0045530E">
        <w:tab/>
      </w:r>
      <w:r w:rsidR="00DC12D9" w:rsidRPr="0045530E">
        <w:tab/>
      </w:r>
    </w:p>
    <w:p w14:paraId="14CB71E1" w14:textId="0C23EF1A" w:rsidR="00B2332B" w:rsidRPr="0045530E" w:rsidRDefault="00B2332B" w:rsidP="003D72EF">
      <w:pPr>
        <w:pStyle w:val="ListParagraph"/>
        <w:numPr>
          <w:ilvl w:val="0"/>
          <w:numId w:val="29"/>
        </w:numPr>
        <w:ind w:left="3600" w:hanging="720"/>
        <w:jc w:val="both"/>
      </w:pPr>
      <w:r w:rsidRPr="0045530E">
        <w:t>Low-NOx burners;</w:t>
      </w:r>
    </w:p>
    <w:p w14:paraId="5BDC8925" w14:textId="77777777" w:rsidR="00B2332B" w:rsidRPr="0045530E" w:rsidRDefault="00B2332B" w:rsidP="00382C5F">
      <w:pPr>
        <w:ind w:leftChars="1200" w:left="3600" w:hanging="720"/>
        <w:jc w:val="both"/>
      </w:pPr>
    </w:p>
    <w:p w14:paraId="36864A6D" w14:textId="7C83042A" w:rsidR="00B2332B" w:rsidRPr="0045530E" w:rsidRDefault="00B2332B" w:rsidP="003D72EF">
      <w:pPr>
        <w:pStyle w:val="ListParagraph"/>
        <w:numPr>
          <w:ilvl w:val="0"/>
          <w:numId w:val="29"/>
        </w:numPr>
        <w:ind w:left="3600" w:hanging="720"/>
        <w:jc w:val="both"/>
      </w:pPr>
      <w:r w:rsidRPr="0045530E">
        <w:t>Overfire air;</w:t>
      </w:r>
    </w:p>
    <w:p w14:paraId="58E20659" w14:textId="77777777" w:rsidR="00B2332B" w:rsidRPr="0045530E" w:rsidRDefault="00B2332B" w:rsidP="00382C5F">
      <w:pPr>
        <w:ind w:leftChars="600" w:left="2160" w:hanging="720"/>
        <w:jc w:val="both"/>
      </w:pPr>
    </w:p>
    <w:p w14:paraId="721A5A7F" w14:textId="18D3B9EC" w:rsidR="00B2332B" w:rsidRPr="0045530E" w:rsidRDefault="00B2332B" w:rsidP="003D72EF">
      <w:pPr>
        <w:pStyle w:val="ListParagraph"/>
        <w:numPr>
          <w:ilvl w:val="0"/>
          <w:numId w:val="29"/>
        </w:numPr>
        <w:ind w:left="3600" w:hanging="720"/>
        <w:jc w:val="both"/>
      </w:pPr>
      <w:r w:rsidRPr="0045530E">
        <w:t xml:space="preserve">Flue gas recirculation; </w:t>
      </w:r>
    </w:p>
    <w:p w14:paraId="780EB5FD" w14:textId="77777777" w:rsidR="00B2332B" w:rsidRPr="0045530E" w:rsidRDefault="00B2332B" w:rsidP="00382C5F">
      <w:pPr>
        <w:ind w:leftChars="900" w:left="2880" w:hanging="720"/>
        <w:jc w:val="both"/>
      </w:pPr>
    </w:p>
    <w:p w14:paraId="6768B4DA" w14:textId="5CE2ACB3" w:rsidR="00B2332B" w:rsidRPr="0045530E" w:rsidRDefault="00B2332B" w:rsidP="003D72EF">
      <w:pPr>
        <w:pStyle w:val="ListParagraph"/>
        <w:numPr>
          <w:ilvl w:val="0"/>
          <w:numId w:val="29"/>
        </w:numPr>
        <w:ind w:left="3600" w:hanging="720"/>
        <w:jc w:val="both"/>
      </w:pPr>
      <w:r w:rsidRPr="0045530E">
        <w:t>Burners out of service;</w:t>
      </w:r>
      <w:r w:rsidR="00343883" w:rsidRPr="0045530E">
        <w:t xml:space="preserve"> </w:t>
      </w:r>
    </w:p>
    <w:p w14:paraId="36EEF878" w14:textId="77777777" w:rsidR="00343883" w:rsidRPr="0045530E" w:rsidRDefault="00343883" w:rsidP="00382C5F">
      <w:pPr>
        <w:ind w:leftChars="900" w:left="2880" w:hanging="720"/>
        <w:jc w:val="both"/>
      </w:pPr>
    </w:p>
    <w:p w14:paraId="08BEF54E" w14:textId="55E697F0" w:rsidR="00343883" w:rsidRPr="0045530E" w:rsidRDefault="00343883" w:rsidP="003D72EF">
      <w:pPr>
        <w:pStyle w:val="ListParagraph"/>
        <w:numPr>
          <w:ilvl w:val="0"/>
          <w:numId w:val="29"/>
        </w:numPr>
        <w:ind w:left="3600" w:hanging="720"/>
        <w:jc w:val="both"/>
      </w:pPr>
      <w:r w:rsidRPr="0045530E">
        <w:t xml:space="preserve">Selective non-catalytic reduction; </w:t>
      </w:r>
    </w:p>
    <w:p w14:paraId="20D55F6B" w14:textId="77777777" w:rsidR="00343883" w:rsidRPr="0045530E" w:rsidRDefault="00343883" w:rsidP="00382C5F">
      <w:pPr>
        <w:ind w:leftChars="900" w:left="2880" w:hanging="720"/>
        <w:jc w:val="both"/>
      </w:pPr>
    </w:p>
    <w:p w14:paraId="34BA5A8C" w14:textId="13C23AAC" w:rsidR="00B2332B" w:rsidRPr="0045530E" w:rsidRDefault="00343883" w:rsidP="003D72EF">
      <w:pPr>
        <w:pStyle w:val="ListParagraph"/>
        <w:numPr>
          <w:ilvl w:val="0"/>
          <w:numId w:val="29"/>
        </w:numPr>
        <w:ind w:left="3600" w:hanging="720"/>
        <w:jc w:val="both"/>
      </w:pPr>
      <w:r w:rsidRPr="0045530E">
        <w:t>Selective catalytic reduction</w:t>
      </w:r>
      <w:r w:rsidR="00FF1326" w:rsidRPr="0045530E">
        <w:t>;</w:t>
      </w:r>
      <w:r w:rsidR="004C6E92" w:rsidRPr="0045530E">
        <w:t xml:space="preserve"> and</w:t>
      </w:r>
    </w:p>
    <w:p w14:paraId="6C307C0E" w14:textId="77777777" w:rsidR="004C6E92" w:rsidRPr="0045530E" w:rsidRDefault="004C6E92" w:rsidP="00382C5F">
      <w:pPr>
        <w:ind w:leftChars="900" w:left="2880" w:hanging="720"/>
        <w:jc w:val="both"/>
      </w:pPr>
    </w:p>
    <w:p w14:paraId="1B142511" w14:textId="598CC111" w:rsidR="004C6E92" w:rsidRPr="0045530E" w:rsidRDefault="004C6E92" w:rsidP="003D72EF">
      <w:pPr>
        <w:pStyle w:val="ListParagraph"/>
        <w:numPr>
          <w:ilvl w:val="0"/>
          <w:numId w:val="29"/>
        </w:numPr>
        <w:ind w:left="3600" w:hanging="720"/>
        <w:jc w:val="both"/>
      </w:pPr>
      <w:r w:rsidRPr="0045530E">
        <w:t xml:space="preserve">Other control options required </w:t>
      </w:r>
      <w:r w:rsidR="002C6D87" w:rsidRPr="0045530E">
        <w:t xml:space="preserve">for evaluation </w:t>
      </w:r>
      <w:r w:rsidRPr="0045530E">
        <w:t>by the Department;</w:t>
      </w:r>
      <w:r w:rsidR="00B3191C">
        <w:t xml:space="preserve"> and</w:t>
      </w:r>
    </w:p>
    <w:p w14:paraId="6EDEB9F1" w14:textId="77777777" w:rsidR="00B2332B" w:rsidRPr="0045530E" w:rsidRDefault="00B2332B" w:rsidP="00B2332B">
      <w:pPr>
        <w:ind w:left="960" w:hangingChars="400" w:hanging="960"/>
        <w:jc w:val="both"/>
      </w:pPr>
    </w:p>
    <w:p w14:paraId="7190384D" w14:textId="07D78FE8" w:rsidR="00B2332B" w:rsidRPr="0045530E" w:rsidRDefault="00B2332B" w:rsidP="00170A35">
      <w:pPr>
        <w:ind w:leftChars="900" w:left="2880" w:hangingChars="300" w:hanging="720"/>
        <w:jc w:val="both"/>
      </w:pPr>
      <w:r w:rsidRPr="0045530E">
        <w:t>(</w:t>
      </w:r>
      <w:r w:rsidR="005E20BD" w:rsidRPr="0045530E">
        <w:t>3</w:t>
      </w:r>
      <w:r w:rsidRPr="0045530E">
        <w:t>)</w:t>
      </w:r>
      <w:r w:rsidRPr="0045530E">
        <w:tab/>
        <w:t>Determine an emission limitation reflecting the application of RACT</w:t>
      </w:r>
      <w:r w:rsidR="00B3191C">
        <w:t>.</w:t>
      </w:r>
    </w:p>
    <w:p w14:paraId="44CCD596" w14:textId="77777777" w:rsidR="00B2332B" w:rsidRPr="0045530E" w:rsidRDefault="00B2332B" w:rsidP="005F08CF">
      <w:pPr>
        <w:ind w:leftChars="600" w:left="2160" w:hangingChars="300" w:hanging="720"/>
        <w:jc w:val="both"/>
      </w:pPr>
    </w:p>
    <w:p w14:paraId="012ABFD3" w14:textId="050F8436" w:rsidR="00B2332B" w:rsidRPr="0045530E" w:rsidRDefault="0068416B" w:rsidP="00B61B93">
      <w:pPr>
        <w:ind w:leftChars="600" w:left="2160" w:hangingChars="300" w:hanging="720"/>
        <w:jc w:val="both"/>
      </w:pPr>
      <w:r w:rsidRPr="0045530E">
        <w:t>(</w:t>
      </w:r>
      <w:r w:rsidR="005E20BD" w:rsidRPr="0045530E">
        <w:t>d</w:t>
      </w:r>
      <w:r w:rsidRPr="0045530E">
        <w:t>)</w:t>
      </w:r>
      <w:r w:rsidRPr="0045530E">
        <w:tab/>
        <w:t xml:space="preserve">Any </w:t>
      </w:r>
      <w:r w:rsidR="00201F88" w:rsidRPr="0045530E">
        <w:t>a</w:t>
      </w:r>
      <w:r w:rsidRPr="0045530E">
        <w:t xml:space="preserve">lternative RACT emissions limitation </w:t>
      </w:r>
      <w:r w:rsidR="00010E51" w:rsidRPr="0045530E">
        <w:t>must b</w:t>
      </w:r>
      <w:r w:rsidRPr="0045530E">
        <w:t xml:space="preserve">e </w:t>
      </w:r>
      <w:r w:rsidR="008A253D" w:rsidRPr="0045530E">
        <w:t>approved by</w:t>
      </w:r>
      <w:r w:rsidR="00010E51" w:rsidRPr="0045530E">
        <w:t xml:space="preserve"> EPA </w:t>
      </w:r>
      <w:r w:rsidRPr="0045530E">
        <w:t>through an amendment to the State Implementation Plan</w:t>
      </w:r>
      <w:r w:rsidR="00B3191C">
        <w:t>.</w:t>
      </w:r>
      <w:r w:rsidRPr="0045530E">
        <w:t xml:space="preserve"> </w:t>
      </w:r>
    </w:p>
    <w:p w14:paraId="600DBD72" w14:textId="77777777" w:rsidR="008773DB" w:rsidRPr="0045530E" w:rsidRDefault="008773DB" w:rsidP="005E20BD">
      <w:pPr>
        <w:ind w:left="1440" w:hangingChars="600" w:hanging="1440"/>
        <w:jc w:val="both"/>
      </w:pPr>
    </w:p>
    <w:p w14:paraId="0A29964F" w14:textId="77777777" w:rsidR="00B2332B" w:rsidRPr="0045530E" w:rsidRDefault="005E20BD">
      <w:pPr>
        <w:ind w:left="1440" w:hangingChars="600" w:hanging="1440"/>
        <w:jc w:val="both"/>
      </w:pPr>
      <w:r w:rsidRPr="0045530E">
        <w:t>805.3</w:t>
      </w:r>
      <w:r w:rsidR="008773DB" w:rsidRPr="0045530E">
        <w:tab/>
      </w:r>
      <w:r w:rsidR="00660220" w:rsidRPr="0045530E">
        <w:rPr>
          <w:i/>
        </w:rPr>
        <w:t xml:space="preserve">Permit Requirements.  </w:t>
      </w:r>
      <w:r w:rsidR="00B2332B" w:rsidRPr="0045530E">
        <w:t xml:space="preserve">Any person subject to § 805 shall </w:t>
      </w:r>
      <w:r w:rsidR="00D17E9B" w:rsidRPr="0045530E">
        <w:t>maintain</w:t>
      </w:r>
      <w:r w:rsidR="00370DF9" w:rsidRPr="0045530E">
        <w:t xml:space="preserve"> a valid</w:t>
      </w:r>
      <w:r w:rsidR="00697E96" w:rsidRPr="0045530E">
        <w:t xml:space="preserve"> permit issued pursuant to </w:t>
      </w:r>
      <w:r w:rsidR="00E65A53" w:rsidRPr="0045530E">
        <w:t>§ 200 of this title</w:t>
      </w:r>
      <w:r w:rsidR="00B3191C">
        <w:t>,</w:t>
      </w:r>
      <w:r w:rsidR="00697E96" w:rsidRPr="0045530E">
        <w:t xml:space="preserve"> </w:t>
      </w:r>
      <w:r w:rsidR="00D17E9B" w:rsidRPr="0045530E">
        <w:t>which</w:t>
      </w:r>
      <w:r w:rsidR="00370DF9" w:rsidRPr="0045530E">
        <w:t xml:space="preserve"> </w:t>
      </w:r>
      <w:r w:rsidR="00041385" w:rsidRPr="0045530E">
        <w:t xml:space="preserve">shall include </w:t>
      </w:r>
      <w:r w:rsidR="00B2332B" w:rsidRPr="0045530E">
        <w:t>the following</w:t>
      </w:r>
      <w:r w:rsidR="005F65DC" w:rsidRPr="0045530E">
        <w:t>:</w:t>
      </w:r>
    </w:p>
    <w:p w14:paraId="7878161C" w14:textId="77777777" w:rsidR="000E4A3D" w:rsidRPr="0045530E" w:rsidRDefault="000E4A3D" w:rsidP="00B2332B">
      <w:pPr>
        <w:ind w:left="1440" w:hangingChars="600" w:hanging="1440"/>
        <w:jc w:val="both"/>
      </w:pPr>
    </w:p>
    <w:p w14:paraId="31F51FF7" w14:textId="5FBF9C55" w:rsidR="00B2332B" w:rsidRPr="0045530E" w:rsidRDefault="002E0356" w:rsidP="008031C6">
      <w:pPr>
        <w:numPr>
          <w:ilvl w:val="0"/>
          <w:numId w:val="15"/>
        </w:numPr>
        <w:jc w:val="both"/>
      </w:pPr>
      <w:r w:rsidRPr="0045530E" w:rsidDel="002E0356">
        <w:t xml:space="preserve"> </w:t>
      </w:r>
      <w:r w:rsidR="00F43730" w:rsidRPr="0045530E">
        <w:t>For all units</w:t>
      </w:r>
      <w:r w:rsidR="00370DF9" w:rsidRPr="0045530E">
        <w:t xml:space="preserve"> subject to § 805</w:t>
      </w:r>
      <w:r w:rsidR="00F43730" w:rsidRPr="0045530E">
        <w:t>:</w:t>
      </w:r>
      <w:r w:rsidR="00697E96" w:rsidRPr="0045530E">
        <w:t xml:space="preserve"> </w:t>
      </w:r>
    </w:p>
    <w:p w14:paraId="23D820DF" w14:textId="77777777" w:rsidR="00F43730" w:rsidRPr="0045530E" w:rsidRDefault="00F43730" w:rsidP="00F43730">
      <w:pPr>
        <w:ind w:left="960" w:hangingChars="400" w:hanging="960"/>
        <w:jc w:val="both"/>
      </w:pPr>
    </w:p>
    <w:p w14:paraId="3571D232" w14:textId="54252507" w:rsidR="00F43730" w:rsidRPr="0045530E" w:rsidRDefault="00F43730" w:rsidP="00F43730">
      <w:pPr>
        <w:ind w:leftChars="900" w:left="2880" w:hangingChars="300" w:hanging="720"/>
        <w:jc w:val="both"/>
      </w:pPr>
      <w:r w:rsidRPr="0045530E">
        <w:t>(1)</w:t>
      </w:r>
      <w:r w:rsidRPr="0045530E">
        <w:tab/>
        <w:t>Emissions limits that are at least as stringent as those in §</w:t>
      </w:r>
      <w:r w:rsidR="006612CE" w:rsidRPr="0045530E">
        <w:t xml:space="preserve">§ </w:t>
      </w:r>
      <w:r w:rsidRPr="0045530E">
        <w:t xml:space="preserve">805.4 </w:t>
      </w:r>
      <w:r w:rsidR="006612CE">
        <w:t xml:space="preserve">- </w:t>
      </w:r>
      <w:r w:rsidRPr="0045530E">
        <w:t xml:space="preserve">805.7; </w:t>
      </w:r>
    </w:p>
    <w:p w14:paraId="6A999111" w14:textId="77777777" w:rsidR="00B2332B" w:rsidRPr="0045530E" w:rsidRDefault="00B2332B" w:rsidP="00F23909">
      <w:pPr>
        <w:ind w:left="960" w:hangingChars="400" w:hanging="960"/>
        <w:jc w:val="both"/>
      </w:pPr>
    </w:p>
    <w:p w14:paraId="205F2F44" w14:textId="300A4E04" w:rsidR="00F43730" w:rsidRPr="0045530E" w:rsidRDefault="00B2332B" w:rsidP="00F43730">
      <w:pPr>
        <w:ind w:leftChars="900" w:left="2880" w:hangingChars="300" w:hanging="720"/>
        <w:jc w:val="both"/>
      </w:pPr>
      <w:r w:rsidRPr="0045530E">
        <w:t>(2)</w:t>
      </w:r>
      <w:r w:rsidRPr="0045530E">
        <w:tab/>
        <w:t xml:space="preserve">Any </w:t>
      </w:r>
      <w:r w:rsidR="00F43730" w:rsidRPr="0045530E">
        <w:t xml:space="preserve">alternative compliance plan </w:t>
      </w:r>
      <w:r w:rsidR="006612CE">
        <w:t xml:space="preserve">submitted in accordance with </w:t>
      </w:r>
      <w:r w:rsidR="00F43730" w:rsidRPr="0045530E">
        <w:t xml:space="preserve">§ </w:t>
      </w:r>
      <w:r w:rsidR="00E66859" w:rsidRPr="0045530E">
        <w:t>805.5(g)</w:t>
      </w:r>
      <w:r w:rsidR="00F43730" w:rsidRPr="0045530E">
        <w:t xml:space="preserve">; </w:t>
      </w:r>
      <w:r w:rsidR="00370DF9" w:rsidRPr="0045530E">
        <w:t>or</w:t>
      </w:r>
    </w:p>
    <w:p w14:paraId="7EA5015E" w14:textId="77777777" w:rsidR="00F43730" w:rsidRPr="0045530E" w:rsidRDefault="00F43730" w:rsidP="008031C6">
      <w:pPr>
        <w:jc w:val="both"/>
      </w:pPr>
    </w:p>
    <w:p w14:paraId="1B325FCC" w14:textId="77777777" w:rsidR="00F43730" w:rsidRPr="0045530E" w:rsidRDefault="00F43730" w:rsidP="00F43730">
      <w:pPr>
        <w:ind w:leftChars="900" w:left="2880" w:hangingChars="300" w:hanging="720"/>
        <w:jc w:val="both"/>
      </w:pPr>
      <w:r w:rsidRPr="0045530E">
        <w:t>(</w:t>
      </w:r>
      <w:r w:rsidR="00370DF9" w:rsidRPr="0045530E">
        <w:t>3</w:t>
      </w:r>
      <w:r w:rsidRPr="0045530E">
        <w:t>)</w:t>
      </w:r>
      <w:r w:rsidRPr="0045530E">
        <w:tab/>
        <w:t xml:space="preserve">Emissions limits that are at least as stringent as those found to be reasonable under § 805.2; </w:t>
      </w:r>
      <w:r w:rsidR="00D17E9B" w:rsidRPr="0045530E">
        <w:t>and</w:t>
      </w:r>
    </w:p>
    <w:p w14:paraId="7691D745" w14:textId="77777777" w:rsidR="00F43730" w:rsidRPr="0045530E" w:rsidRDefault="00F43730" w:rsidP="00F43730">
      <w:pPr>
        <w:ind w:leftChars="900" w:left="2880" w:hangingChars="300" w:hanging="720"/>
        <w:jc w:val="both"/>
      </w:pPr>
    </w:p>
    <w:p w14:paraId="53FC5AD1" w14:textId="77777777" w:rsidR="00B2332B" w:rsidRPr="0045530E" w:rsidRDefault="00F43730" w:rsidP="00F43730">
      <w:pPr>
        <w:ind w:leftChars="600" w:left="2160" w:hangingChars="300" w:hanging="720"/>
        <w:jc w:val="both"/>
      </w:pPr>
      <w:r w:rsidRPr="0045530E">
        <w:t xml:space="preserve"> </w:t>
      </w:r>
      <w:r w:rsidR="00B2332B" w:rsidRPr="0045530E">
        <w:t>(b)</w:t>
      </w:r>
      <w:r w:rsidR="00B2332B" w:rsidRPr="0045530E">
        <w:tab/>
      </w:r>
      <w:r w:rsidR="00041385" w:rsidRPr="0045530E">
        <w:t xml:space="preserve">Any </w:t>
      </w:r>
      <w:r w:rsidR="00697E96" w:rsidRPr="0045530E">
        <w:t>requirements necessary to comply with</w:t>
      </w:r>
      <w:r w:rsidR="00B2332B" w:rsidRPr="0045530E">
        <w:t xml:space="preserve"> §</w:t>
      </w:r>
      <w:r w:rsidR="007840FE" w:rsidRPr="0045530E">
        <w:t xml:space="preserve">§ </w:t>
      </w:r>
      <w:r w:rsidRPr="0045530E">
        <w:t>805.9</w:t>
      </w:r>
      <w:r w:rsidR="007840FE" w:rsidRPr="0045530E">
        <w:t xml:space="preserve"> through 805.11</w:t>
      </w:r>
      <w:r w:rsidR="00D17E9B" w:rsidRPr="0045530E">
        <w:t>.</w:t>
      </w:r>
    </w:p>
    <w:p w14:paraId="1334DB5F" w14:textId="77777777" w:rsidR="00B2332B" w:rsidRPr="0045530E" w:rsidRDefault="00B2332B" w:rsidP="00F23909">
      <w:pPr>
        <w:ind w:leftChars="600" w:left="2160" w:hangingChars="300" w:hanging="720"/>
        <w:jc w:val="both"/>
      </w:pPr>
    </w:p>
    <w:p w14:paraId="6DD07E03" w14:textId="3F4FCDA1" w:rsidR="00B2332B" w:rsidRPr="0045530E" w:rsidRDefault="00B2332B" w:rsidP="00B2332B">
      <w:pPr>
        <w:ind w:left="1440" w:hangingChars="600" w:hanging="1440"/>
        <w:jc w:val="both"/>
        <w:rPr>
          <w:szCs w:val="20"/>
        </w:rPr>
      </w:pPr>
      <w:r w:rsidRPr="0045530E">
        <w:rPr>
          <w:szCs w:val="20"/>
        </w:rPr>
        <w:t>805.4</w:t>
      </w:r>
      <w:r w:rsidRPr="0045530E">
        <w:rPr>
          <w:szCs w:val="20"/>
        </w:rPr>
        <w:tab/>
      </w:r>
      <w:r w:rsidR="00C8055F" w:rsidRPr="0045530E">
        <w:rPr>
          <w:i/>
          <w:szCs w:val="20"/>
        </w:rPr>
        <w:t>Stationary combustion turbines.</w:t>
      </w:r>
      <w:r w:rsidR="00C8055F" w:rsidRPr="0045530E">
        <w:rPr>
          <w:szCs w:val="20"/>
        </w:rPr>
        <w:t xml:space="preserve">  </w:t>
      </w:r>
      <w:r w:rsidRPr="0045530E">
        <w:rPr>
          <w:szCs w:val="20"/>
        </w:rPr>
        <w:t>Any person owning, leasing, operating</w:t>
      </w:r>
      <w:r w:rsidR="000C6CB3">
        <w:rPr>
          <w:szCs w:val="20"/>
        </w:rPr>
        <w:t>,</w:t>
      </w:r>
      <w:r w:rsidRPr="0045530E">
        <w:rPr>
          <w:szCs w:val="20"/>
        </w:rPr>
        <w:t xml:space="preserve"> or controlling any stationary combustion turbine subject to § 805 shall comply with</w:t>
      </w:r>
      <w:r w:rsidR="006612CE">
        <w:rPr>
          <w:szCs w:val="20"/>
        </w:rPr>
        <w:t xml:space="preserve"> the following</w:t>
      </w:r>
      <w:r w:rsidRPr="0045530E">
        <w:rPr>
          <w:szCs w:val="20"/>
        </w:rPr>
        <w:t>:</w:t>
      </w:r>
    </w:p>
    <w:p w14:paraId="727F2343" w14:textId="77777777" w:rsidR="00B2332B" w:rsidRPr="0045530E" w:rsidRDefault="00B2332B" w:rsidP="00B2332B">
      <w:pPr>
        <w:ind w:left="960" w:hangingChars="400" w:hanging="960"/>
        <w:jc w:val="both"/>
        <w:rPr>
          <w:szCs w:val="20"/>
        </w:rPr>
      </w:pPr>
    </w:p>
    <w:p w14:paraId="1278AA05" w14:textId="07CA8D83" w:rsidR="00B2332B" w:rsidRPr="0045530E" w:rsidRDefault="00B2332B" w:rsidP="00B2332B">
      <w:pPr>
        <w:ind w:leftChars="588" w:left="2160" w:hangingChars="312" w:hanging="749"/>
        <w:jc w:val="both"/>
      </w:pPr>
      <w:r w:rsidRPr="0045530E">
        <w:t>(a)</w:t>
      </w:r>
      <w:r w:rsidRPr="0045530E">
        <w:tab/>
      </w:r>
      <w:r w:rsidR="006612CE">
        <w:t>E</w:t>
      </w:r>
      <w:r w:rsidRPr="0045530E">
        <w:t>mission and operational requirements</w:t>
      </w:r>
      <w:r w:rsidR="006612CE">
        <w:t xml:space="preserve"> as follows</w:t>
      </w:r>
      <w:r w:rsidRPr="0045530E">
        <w:t>:</w:t>
      </w:r>
    </w:p>
    <w:p w14:paraId="3A1F2BDA" w14:textId="77777777" w:rsidR="00B2332B" w:rsidRPr="0045530E" w:rsidRDefault="00B2332B" w:rsidP="00B2332B">
      <w:pPr>
        <w:ind w:leftChars="400" w:left="1920" w:hangingChars="400" w:hanging="960"/>
        <w:jc w:val="both"/>
      </w:pPr>
    </w:p>
    <w:p w14:paraId="58E22036" w14:textId="165FCC71" w:rsidR="00B2332B" w:rsidRPr="0045530E" w:rsidRDefault="00B2332B" w:rsidP="00B2332B">
      <w:pPr>
        <w:ind w:leftChars="900" w:left="2856" w:hangingChars="290" w:hanging="696"/>
        <w:jc w:val="both"/>
      </w:pPr>
      <w:r w:rsidRPr="0045530E">
        <w:t xml:space="preserve"> (1)</w:t>
      </w:r>
      <w:r w:rsidRPr="0045530E">
        <w:tab/>
        <w:t>For any stationary combustion turbine that most recently commenced construction, modification, or reconstruction (as these terms are defined in 40 CFR §</w:t>
      </w:r>
      <w:r w:rsidR="000C6CB3" w:rsidRPr="0045530E">
        <w:t>§</w:t>
      </w:r>
      <w:r w:rsidRPr="0045530E">
        <w:t xml:space="preserve"> 60.2 and 60.15 as in effect on July 1, 2018) after February 18, 2005, and has a heat input rating greater than fifty million (50,000,000) BTU per hour, based on the higher heating value of the fuel: </w:t>
      </w:r>
    </w:p>
    <w:p w14:paraId="75FAA589" w14:textId="77777777" w:rsidR="00B2332B" w:rsidRPr="0045530E" w:rsidRDefault="00B2332B" w:rsidP="00B2332B">
      <w:pPr>
        <w:ind w:leftChars="791" w:left="2858" w:hangingChars="400" w:hanging="960"/>
        <w:jc w:val="both"/>
      </w:pPr>
    </w:p>
    <w:p w14:paraId="2BAD6485" w14:textId="77777777" w:rsidR="00B2332B" w:rsidRPr="0045530E" w:rsidRDefault="00B2332B" w:rsidP="00B2332B">
      <w:pPr>
        <w:ind w:leftChars="1200" w:left="3600" w:hangingChars="300" w:hanging="720"/>
        <w:jc w:val="both"/>
      </w:pPr>
      <w:r w:rsidRPr="0045530E">
        <w:t>(A)</w:t>
      </w:r>
      <w:r w:rsidRPr="0045530E">
        <w:tab/>
        <w:t>Emissions, with any supplemental duct burner firing, shall not be greater than:</w:t>
      </w:r>
    </w:p>
    <w:p w14:paraId="35F5FD96" w14:textId="77777777" w:rsidR="00B2332B" w:rsidRPr="0045530E" w:rsidRDefault="00B2332B" w:rsidP="00B2332B">
      <w:pPr>
        <w:ind w:leftChars="791" w:left="2858" w:hangingChars="400" w:hanging="960"/>
        <w:jc w:val="both"/>
      </w:pPr>
    </w:p>
    <w:p w14:paraId="390E30F8" w14:textId="08F3ACCB" w:rsidR="00B2332B" w:rsidRPr="0045530E" w:rsidRDefault="00B2332B" w:rsidP="00B2332B">
      <w:pPr>
        <w:ind w:leftChars="1512" w:left="4318" w:hangingChars="287" w:hanging="689"/>
        <w:jc w:val="both"/>
      </w:pPr>
      <w:r w:rsidRPr="0045530E">
        <w:t>(</w:t>
      </w:r>
      <w:proofErr w:type="spellStart"/>
      <w:r w:rsidRPr="0045530E">
        <w:t>i</w:t>
      </w:r>
      <w:proofErr w:type="spellEnd"/>
      <w:r w:rsidRPr="0045530E">
        <w:t>)</w:t>
      </w:r>
      <w:r w:rsidRPr="0045530E">
        <w:tab/>
      </w:r>
      <w:r w:rsidR="00C4123F" w:rsidRPr="0045530E">
        <w:t>When fired on any combination of gaseous fuels, twenty</w:t>
      </w:r>
      <w:r w:rsidRPr="0045530E">
        <w:t xml:space="preserve">-five </w:t>
      </w:r>
      <w:r w:rsidR="0031614E" w:rsidRPr="0045530E">
        <w:t>parts per million by volume dry basis (</w:t>
      </w:r>
      <w:r w:rsidR="006F5A81">
        <w:t xml:space="preserve">25 </w:t>
      </w:r>
      <w:r w:rsidRPr="0045530E">
        <w:t>ppmvd</w:t>
      </w:r>
      <w:r w:rsidR="0031614E" w:rsidRPr="0045530E">
        <w:t>)</w:t>
      </w:r>
      <w:r w:rsidRPr="0045530E">
        <w:t>, corrected to fifteen percent (15%) O</w:t>
      </w:r>
      <w:r w:rsidRPr="0045530E">
        <w:rPr>
          <w:vertAlign w:val="subscript"/>
        </w:rPr>
        <w:t>2</w:t>
      </w:r>
      <w:r w:rsidRPr="0045530E">
        <w:t>; and</w:t>
      </w:r>
    </w:p>
    <w:p w14:paraId="70796CE3" w14:textId="77777777" w:rsidR="00B2332B" w:rsidRPr="0045530E" w:rsidRDefault="00B2332B" w:rsidP="00B2332B">
      <w:pPr>
        <w:ind w:leftChars="1512" w:left="4318" w:hangingChars="287" w:hanging="689"/>
        <w:jc w:val="both"/>
      </w:pPr>
    </w:p>
    <w:p w14:paraId="7D5335A6" w14:textId="77777777" w:rsidR="00C4123F" w:rsidRPr="0045530E" w:rsidRDefault="00B2332B" w:rsidP="00C4123F">
      <w:pPr>
        <w:ind w:leftChars="1512" w:left="4318" w:hangingChars="287" w:hanging="689"/>
        <w:jc w:val="both"/>
      </w:pPr>
      <w:r w:rsidRPr="0045530E">
        <w:t>(ii)</w:t>
      </w:r>
      <w:r w:rsidRPr="0045530E">
        <w:tab/>
      </w:r>
      <w:r w:rsidR="00C4123F" w:rsidRPr="0045530E">
        <w:t xml:space="preserve">When fired on any combination of liquid fuels: </w:t>
      </w:r>
    </w:p>
    <w:p w14:paraId="7C3E24CD" w14:textId="77777777" w:rsidR="00C4123F" w:rsidRPr="0045530E" w:rsidRDefault="00C4123F" w:rsidP="00C4123F">
      <w:pPr>
        <w:ind w:leftChars="1512" w:left="4318" w:hangingChars="287" w:hanging="689"/>
        <w:jc w:val="both"/>
      </w:pPr>
    </w:p>
    <w:p w14:paraId="7716C448" w14:textId="77777777" w:rsidR="00C4123F" w:rsidRPr="0045530E" w:rsidRDefault="00C4123F" w:rsidP="005F08CF">
      <w:pPr>
        <w:ind w:leftChars="1799" w:left="5038" w:hangingChars="300" w:hanging="720"/>
        <w:jc w:val="both"/>
      </w:pPr>
      <w:r w:rsidRPr="0045530E">
        <w:t>(</w:t>
      </w:r>
      <w:r w:rsidR="005B52C9" w:rsidRPr="0045530E">
        <w:t>I</w:t>
      </w:r>
      <w:r w:rsidRPr="0045530E">
        <w:t>)</w:t>
      </w:r>
      <w:r w:rsidRPr="0045530E">
        <w:tab/>
      </w:r>
      <w:r w:rsidR="008743DB" w:rsidRPr="0045530E">
        <w:t>On or a</w:t>
      </w:r>
      <w:r w:rsidRPr="0045530E">
        <w:t xml:space="preserve">fter </w:t>
      </w:r>
      <w:r w:rsidRPr="0045530E">
        <w:rPr>
          <w:szCs w:val="20"/>
        </w:rPr>
        <w:t xml:space="preserve">July 23, 2018, </w:t>
      </w:r>
      <w:r w:rsidRPr="0045530E">
        <w:t>seventy-four (74) ppmvd, corrected to fifteen percent (15%) O</w:t>
      </w:r>
      <w:r w:rsidRPr="0045530E">
        <w:rPr>
          <w:vertAlign w:val="subscript"/>
        </w:rPr>
        <w:t>2</w:t>
      </w:r>
      <w:r w:rsidRPr="0045530E">
        <w:t>; and</w:t>
      </w:r>
    </w:p>
    <w:p w14:paraId="3F74E914" w14:textId="77777777" w:rsidR="00C4123F" w:rsidRPr="0045530E" w:rsidRDefault="00C4123F" w:rsidP="005F08CF">
      <w:pPr>
        <w:ind w:leftChars="1799" w:left="5038" w:hangingChars="300" w:hanging="720"/>
        <w:jc w:val="both"/>
      </w:pPr>
    </w:p>
    <w:p w14:paraId="031E85E7" w14:textId="77777777" w:rsidR="00B2332B" w:rsidRPr="0045530E" w:rsidRDefault="00C4123F" w:rsidP="005F08CF">
      <w:pPr>
        <w:ind w:leftChars="1799" w:left="5038" w:hangingChars="300" w:hanging="720"/>
        <w:jc w:val="both"/>
      </w:pPr>
      <w:r w:rsidRPr="0045530E">
        <w:t>(</w:t>
      </w:r>
      <w:r w:rsidR="005B52C9" w:rsidRPr="0045530E">
        <w:t>II</w:t>
      </w:r>
      <w:r w:rsidRPr="0045530E">
        <w:t>)</w:t>
      </w:r>
      <w:r w:rsidRPr="0045530E">
        <w:tab/>
      </w:r>
      <w:r w:rsidR="008743DB" w:rsidRPr="0045530E">
        <w:t>On or a</w:t>
      </w:r>
      <w:r w:rsidRPr="0045530E">
        <w:t xml:space="preserve">fter </w:t>
      </w:r>
      <w:r w:rsidR="003F4A1B">
        <w:rPr>
          <w:szCs w:val="20"/>
        </w:rPr>
        <w:t>January 1</w:t>
      </w:r>
      <w:r w:rsidRPr="0045530E">
        <w:rPr>
          <w:szCs w:val="20"/>
        </w:rPr>
        <w:t xml:space="preserve">, 2023, </w:t>
      </w:r>
      <w:r w:rsidRPr="0045530E">
        <w:t>forty-two (42) ppmvd, corrected to fifteen percent (15%) O</w:t>
      </w:r>
      <w:r w:rsidRPr="0045530E">
        <w:rPr>
          <w:vertAlign w:val="subscript"/>
        </w:rPr>
        <w:t>2</w:t>
      </w:r>
      <w:r w:rsidRPr="0045530E">
        <w:t xml:space="preserve">; </w:t>
      </w:r>
    </w:p>
    <w:p w14:paraId="45039608" w14:textId="77777777" w:rsidR="00D92C19" w:rsidRPr="0045530E" w:rsidRDefault="00D92C19" w:rsidP="00B2332B">
      <w:pPr>
        <w:ind w:leftChars="1204" w:left="3850" w:hangingChars="400" w:hanging="960"/>
        <w:jc w:val="both"/>
      </w:pPr>
    </w:p>
    <w:p w14:paraId="359F83B5" w14:textId="77777777" w:rsidR="00B2332B" w:rsidRPr="0045530E" w:rsidRDefault="00B2332B" w:rsidP="00B2332B">
      <w:pPr>
        <w:ind w:leftChars="1212" w:left="3598" w:hangingChars="287" w:hanging="689"/>
        <w:jc w:val="both"/>
      </w:pPr>
      <w:r w:rsidRPr="0045530E">
        <w:t xml:space="preserve">(B) </w:t>
      </w:r>
      <w:r w:rsidRPr="0045530E">
        <w:tab/>
        <w:t>Only the peak heat input rating of the stationary combustion turbine shall be included when determining whether § 805.4(a)(1) is applicable. Any additional heat input to associated heat recovery steam generators or duct burners shall not be included when determining the peak heat input to the stationary combustion turbine; and</w:t>
      </w:r>
    </w:p>
    <w:p w14:paraId="438C7638" w14:textId="77777777" w:rsidR="00B2332B" w:rsidRPr="0045530E" w:rsidRDefault="00B2332B" w:rsidP="00B2332B">
      <w:pPr>
        <w:ind w:leftChars="1204" w:left="3850" w:hangingChars="400" w:hanging="960"/>
        <w:jc w:val="both"/>
      </w:pPr>
    </w:p>
    <w:p w14:paraId="7EA01669" w14:textId="77777777" w:rsidR="00B2332B" w:rsidRPr="0045530E" w:rsidRDefault="00B2332B" w:rsidP="00B2332B">
      <w:pPr>
        <w:ind w:leftChars="1212" w:left="3598" w:hangingChars="287" w:hanging="689"/>
        <w:jc w:val="both"/>
      </w:pPr>
      <w:r w:rsidRPr="0045530E">
        <w:t xml:space="preserve">(C) </w:t>
      </w:r>
      <w:r w:rsidRPr="0045530E">
        <w:tab/>
        <w:t xml:space="preserve">When fifty percent (50%) or more of the total heat input is from gaseous fuels, the emission limitation in </w:t>
      </w:r>
      <w:r w:rsidRPr="0045530E">
        <w:lastRenderedPageBreak/>
        <w:t>§ 805.4(a)(1)(A)(</w:t>
      </w:r>
      <w:proofErr w:type="spellStart"/>
      <w:r w:rsidRPr="0045530E">
        <w:t>i</w:t>
      </w:r>
      <w:proofErr w:type="spellEnd"/>
      <w:r w:rsidRPr="0045530E">
        <w:t>) applies</w:t>
      </w:r>
      <w:r w:rsidR="000C6CB3">
        <w:t>.</w:t>
      </w:r>
      <w:r w:rsidRPr="0045530E">
        <w:t xml:space="preserve"> </w:t>
      </w:r>
      <w:r w:rsidR="000C6CB3">
        <w:t>O</w:t>
      </w:r>
      <w:r w:rsidR="00CD63E7" w:rsidRPr="0045530E">
        <w:t>therwise</w:t>
      </w:r>
      <w:r w:rsidR="000C6CB3">
        <w:t>,</w:t>
      </w:r>
      <w:r w:rsidRPr="0045530E">
        <w:t xml:space="preserve"> the emission limitation in § 805.4(a</w:t>
      </w:r>
      <w:proofErr w:type="gramStart"/>
      <w:r w:rsidRPr="0045530E">
        <w:t>)(</w:t>
      </w:r>
      <w:proofErr w:type="gramEnd"/>
      <w:r w:rsidRPr="0045530E">
        <w:t>1)(A)(ii) applies;</w:t>
      </w:r>
    </w:p>
    <w:p w14:paraId="5E88B2B4" w14:textId="77777777" w:rsidR="00B2332B" w:rsidRPr="0045530E" w:rsidRDefault="00B2332B" w:rsidP="00B2332B">
      <w:pPr>
        <w:ind w:leftChars="1204" w:left="3850" w:hangingChars="400" w:hanging="960"/>
        <w:jc w:val="both"/>
      </w:pPr>
    </w:p>
    <w:p w14:paraId="3D3C8745" w14:textId="7432CE7C" w:rsidR="00B2332B" w:rsidRPr="0045530E" w:rsidRDefault="00B2332B" w:rsidP="00B2332B">
      <w:pPr>
        <w:ind w:leftChars="900" w:left="2856" w:hangingChars="290" w:hanging="696"/>
        <w:jc w:val="both"/>
      </w:pPr>
      <w:r w:rsidRPr="0045530E">
        <w:t>(2)</w:t>
      </w:r>
      <w:r w:rsidRPr="0045530E">
        <w:tab/>
        <w:t>For any stationary combustion turbine that most recently commenced construction, modification, or reconstruction (as these terms are defined in 40 CFR §</w:t>
      </w:r>
      <w:r w:rsidR="000C6CB3" w:rsidRPr="0045530E">
        <w:t>§</w:t>
      </w:r>
      <w:r w:rsidRPr="0045530E">
        <w:t xml:space="preserve"> 60.2 and 60.15 as in effect on July 1, 2018) on or before February 18, 2005</w:t>
      </w:r>
      <w:r w:rsidR="000C6CB3">
        <w:t>,</w:t>
      </w:r>
      <w:r w:rsidRPr="0045530E">
        <w:t xml:space="preserve"> and has a heat input rating greater than fifty million (50,000,000) BTU per hour, based on the higher heating value of the fuel:</w:t>
      </w:r>
    </w:p>
    <w:p w14:paraId="561E40C6" w14:textId="77777777" w:rsidR="00B2332B" w:rsidRPr="0045530E" w:rsidRDefault="00B2332B" w:rsidP="00B2332B">
      <w:pPr>
        <w:ind w:leftChars="791" w:left="2858" w:hangingChars="400" w:hanging="960"/>
        <w:jc w:val="both"/>
      </w:pPr>
    </w:p>
    <w:p w14:paraId="61A7DC8C" w14:textId="77777777" w:rsidR="00B2332B" w:rsidRPr="0045530E" w:rsidRDefault="00B2332B" w:rsidP="00B2332B">
      <w:pPr>
        <w:ind w:leftChars="1204" w:left="3598" w:hangingChars="295" w:hanging="708"/>
        <w:jc w:val="both"/>
      </w:pPr>
      <w:r w:rsidRPr="0045530E">
        <w:t>(A)</w:t>
      </w:r>
      <w:r w:rsidRPr="0045530E">
        <w:tab/>
        <w:t>Emissions from a stationary combustion turbine alone shall not be greater than:</w:t>
      </w:r>
    </w:p>
    <w:p w14:paraId="7FC4C0EB" w14:textId="77777777" w:rsidR="00B2332B" w:rsidRPr="0045530E" w:rsidRDefault="00B2332B" w:rsidP="00B2332B">
      <w:pPr>
        <w:ind w:leftChars="1204" w:left="3850" w:hangingChars="400" w:hanging="960"/>
        <w:jc w:val="both"/>
      </w:pPr>
    </w:p>
    <w:p w14:paraId="3A2A0450" w14:textId="77777777" w:rsidR="00B2332B" w:rsidRPr="0045530E" w:rsidRDefault="00B2332B" w:rsidP="00B2332B">
      <w:pPr>
        <w:ind w:leftChars="1500" w:left="4320" w:hangingChars="300" w:hanging="720"/>
        <w:jc w:val="both"/>
      </w:pPr>
      <w:r w:rsidRPr="0045530E">
        <w:t>(</w:t>
      </w:r>
      <w:proofErr w:type="spellStart"/>
      <w:r w:rsidRPr="0045530E">
        <w:t>i</w:t>
      </w:r>
      <w:proofErr w:type="spellEnd"/>
      <w:r w:rsidRPr="0045530E">
        <w:t>)</w:t>
      </w:r>
      <w:r w:rsidRPr="0045530E">
        <w:tab/>
      </w:r>
      <w:r w:rsidR="00C4123F" w:rsidRPr="0045530E">
        <w:t>When fired on any combination of gaseous fuels, t</w:t>
      </w:r>
      <w:r w:rsidRPr="0045530E">
        <w:t>wenty-five (25) ppmvd, corrected to fifteen percent (15%) O</w:t>
      </w:r>
      <w:r w:rsidRPr="0045530E">
        <w:rPr>
          <w:vertAlign w:val="subscript"/>
        </w:rPr>
        <w:t>2</w:t>
      </w:r>
      <w:r w:rsidRPr="0045530E">
        <w:t>; and</w:t>
      </w:r>
    </w:p>
    <w:p w14:paraId="78F43E29" w14:textId="77777777" w:rsidR="00B2332B" w:rsidRPr="0045530E" w:rsidRDefault="00B2332B" w:rsidP="00B2332B">
      <w:pPr>
        <w:ind w:leftChars="1500" w:left="4320" w:hangingChars="300" w:hanging="720"/>
        <w:jc w:val="both"/>
      </w:pPr>
    </w:p>
    <w:p w14:paraId="4D01A793" w14:textId="77777777" w:rsidR="00C4123F" w:rsidRPr="0045530E" w:rsidRDefault="00B2332B" w:rsidP="00C4123F">
      <w:pPr>
        <w:ind w:leftChars="1512" w:left="4318" w:hangingChars="287" w:hanging="689"/>
        <w:jc w:val="both"/>
      </w:pPr>
      <w:r w:rsidRPr="0045530E">
        <w:t>(ii)</w:t>
      </w:r>
      <w:r w:rsidRPr="0045530E">
        <w:tab/>
      </w:r>
      <w:r w:rsidR="00C4123F" w:rsidRPr="0045530E">
        <w:t>When fired on any combination of liquid fuels, e</w:t>
      </w:r>
      <w:r w:rsidRPr="0045530E">
        <w:t>xcept as provided in § 805.4(a)(2)(D)</w:t>
      </w:r>
      <w:r w:rsidR="00C4123F" w:rsidRPr="0045530E">
        <w:t xml:space="preserve">: </w:t>
      </w:r>
    </w:p>
    <w:p w14:paraId="538695D5" w14:textId="77777777" w:rsidR="00C4123F" w:rsidRPr="0045530E" w:rsidRDefault="00C4123F" w:rsidP="00C4123F">
      <w:pPr>
        <w:ind w:leftChars="1512" w:left="4318" w:hangingChars="287" w:hanging="689"/>
        <w:jc w:val="both"/>
      </w:pPr>
    </w:p>
    <w:p w14:paraId="6D2EE7A4" w14:textId="77777777" w:rsidR="00C4123F" w:rsidRPr="0045530E" w:rsidRDefault="00C4123F" w:rsidP="00C4123F">
      <w:pPr>
        <w:ind w:leftChars="1799" w:left="5038" w:hangingChars="300" w:hanging="720"/>
        <w:jc w:val="both"/>
      </w:pPr>
      <w:r w:rsidRPr="0045530E">
        <w:t>(</w:t>
      </w:r>
      <w:r w:rsidR="005B52C9" w:rsidRPr="0045530E">
        <w:t>I</w:t>
      </w:r>
      <w:r w:rsidRPr="0045530E">
        <w:t>)</w:t>
      </w:r>
      <w:r w:rsidRPr="0045530E">
        <w:tab/>
      </w:r>
      <w:r w:rsidR="008743DB" w:rsidRPr="0045530E">
        <w:t>On or a</w:t>
      </w:r>
      <w:r w:rsidRPr="0045530E">
        <w:t xml:space="preserve">fter </w:t>
      </w:r>
      <w:r w:rsidRPr="0045530E">
        <w:rPr>
          <w:szCs w:val="20"/>
        </w:rPr>
        <w:t xml:space="preserve">July 23, 2018, </w:t>
      </w:r>
      <w:r w:rsidRPr="0045530E">
        <w:t>seventy-four (74) ppmvd, corrected to fifteen percent (15%) O</w:t>
      </w:r>
      <w:r w:rsidRPr="0045530E">
        <w:rPr>
          <w:vertAlign w:val="subscript"/>
        </w:rPr>
        <w:t>2</w:t>
      </w:r>
      <w:r w:rsidRPr="0045530E">
        <w:t>; and</w:t>
      </w:r>
    </w:p>
    <w:p w14:paraId="3B79618F" w14:textId="77777777" w:rsidR="00C4123F" w:rsidRPr="0045530E" w:rsidRDefault="00C4123F" w:rsidP="00C4123F">
      <w:pPr>
        <w:ind w:leftChars="1799" w:left="5038" w:hangingChars="300" w:hanging="720"/>
        <w:jc w:val="both"/>
      </w:pPr>
    </w:p>
    <w:p w14:paraId="3AA082D7" w14:textId="77777777" w:rsidR="00B2332B" w:rsidRPr="0045530E" w:rsidRDefault="00C4123F" w:rsidP="005F08CF">
      <w:pPr>
        <w:ind w:leftChars="1799" w:left="5038" w:hangingChars="300" w:hanging="720"/>
        <w:jc w:val="both"/>
      </w:pPr>
      <w:r w:rsidRPr="0045530E">
        <w:t>(</w:t>
      </w:r>
      <w:r w:rsidR="005B52C9" w:rsidRPr="0045530E">
        <w:t>II</w:t>
      </w:r>
      <w:r w:rsidRPr="0045530E">
        <w:t>)</w:t>
      </w:r>
      <w:r w:rsidRPr="0045530E">
        <w:tab/>
      </w:r>
      <w:r w:rsidR="008743DB" w:rsidRPr="0045530E">
        <w:t>On or a</w:t>
      </w:r>
      <w:r w:rsidRPr="0045530E">
        <w:t xml:space="preserve">fter </w:t>
      </w:r>
      <w:r w:rsidR="003F4A1B">
        <w:rPr>
          <w:szCs w:val="20"/>
        </w:rPr>
        <w:t>January 1</w:t>
      </w:r>
      <w:r w:rsidRPr="0045530E">
        <w:rPr>
          <w:szCs w:val="20"/>
        </w:rPr>
        <w:t xml:space="preserve">, 2023, </w:t>
      </w:r>
      <w:r w:rsidRPr="0045530E">
        <w:t>forty-two (42) ppmvd, corrected to fifteen percent (15%) O</w:t>
      </w:r>
      <w:r w:rsidRPr="0045530E">
        <w:rPr>
          <w:vertAlign w:val="subscript"/>
        </w:rPr>
        <w:t>2</w:t>
      </w:r>
      <w:r w:rsidRPr="0045530E">
        <w:t xml:space="preserve">; </w:t>
      </w:r>
    </w:p>
    <w:p w14:paraId="3AC84E6B" w14:textId="77777777" w:rsidR="00B2332B" w:rsidRPr="0045530E" w:rsidRDefault="00B2332B" w:rsidP="00B2332B">
      <w:pPr>
        <w:ind w:leftChars="791" w:left="2858" w:hangingChars="400" w:hanging="960"/>
        <w:jc w:val="both"/>
      </w:pPr>
    </w:p>
    <w:p w14:paraId="31753052" w14:textId="77777777" w:rsidR="00B2332B" w:rsidRPr="0045530E" w:rsidRDefault="00B2332B" w:rsidP="00B2332B">
      <w:pPr>
        <w:ind w:leftChars="1204" w:left="3598" w:hangingChars="295" w:hanging="708"/>
        <w:jc w:val="both"/>
      </w:pPr>
      <w:r w:rsidRPr="0045530E">
        <w:t>(B)</w:t>
      </w:r>
      <w:r w:rsidRPr="0045530E">
        <w:tab/>
        <w:t>Emissions from a stationary combustion turbine and all duct burners combined shall not be greater than twenty</w:t>
      </w:r>
      <w:r w:rsidR="00A46DEE">
        <w:t xml:space="preserve"> </w:t>
      </w:r>
      <w:r w:rsidRPr="0045530E">
        <w:t>hundredths (0.20) pounds per million BTU, based on a calendar day average, when fired on any fuel or combination of fuels;</w:t>
      </w:r>
    </w:p>
    <w:p w14:paraId="77CB7E45" w14:textId="77777777" w:rsidR="00B2332B" w:rsidRPr="0045530E" w:rsidRDefault="00B2332B" w:rsidP="00B2332B">
      <w:pPr>
        <w:ind w:leftChars="1204" w:left="3850" w:hangingChars="400" w:hanging="960"/>
        <w:jc w:val="both"/>
      </w:pPr>
    </w:p>
    <w:p w14:paraId="54B81E04" w14:textId="77777777" w:rsidR="00B2332B" w:rsidRPr="0045530E" w:rsidRDefault="00B2332B" w:rsidP="00B2332B">
      <w:pPr>
        <w:ind w:leftChars="1204" w:left="3598" w:hangingChars="295" w:hanging="708"/>
        <w:jc w:val="both"/>
      </w:pPr>
      <w:r w:rsidRPr="0045530E">
        <w:t>(C)</w:t>
      </w:r>
      <w:r w:rsidRPr="0045530E">
        <w:tab/>
        <w:t>Only the peak heat input rating of the stationary combustion turbine shall be included when determining whether § 805.4(a)(2) is applicable. Any additional heat input to associated heat recovery steam generators or duct burners shall not be included when determining the peak heat input to the stationary combustion turbine; and</w:t>
      </w:r>
    </w:p>
    <w:p w14:paraId="36647085" w14:textId="77777777" w:rsidR="00B2332B" w:rsidRPr="0045530E" w:rsidRDefault="00B2332B" w:rsidP="00B2332B">
      <w:pPr>
        <w:ind w:leftChars="1204" w:left="3850" w:hangingChars="400" w:hanging="960"/>
        <w:jc w:val="both"/>
      </w:pPr>
    </w:p>
    <w:p w14:paraId="463D7BD4" w14:textId="77777777" w:rsidR="00B2332B" w:rsidRPr="0045530E" w:rsidRDefault="00B2332B" w:rsidP="00B2332B">
      <w:pPr>
        <w:ind w:leftChars="1204" w:left="3598" w:hangingChars="295" w:hanging="708"/>
        <w:jc w:val="both"/>
      </w:pPr>
      <w:r w:rsidRPr="0045530E">
        <w:t>(D)</w:t>
      </w:r>
      <w:r w:rsidRPr="0045530E">
        <w:tab/>
        <w:t xml:space="preserve">Any stationary combustion turbine being fired on liquid fuel, or any combination of gaseous and liquid fuels such that more than fifty percent (50%) of the total heat input is from liquid fuels, is not required to comply with the </w:t>
      </w:r>
      <w:r w:rsidRPr="0045530E">
        <w:lastRenderedPageBreak/>
        <w:t>maximum allowable NOx emission rate in § 805.4(a)(2)(A)(ii) if it meets the following requirements:</w:t>
      </w:r>
    </w:p>
    <w:p w14:paraId="3FC441DE" w14:textId="77777777" w:rsidR="00B2332B" w:rsidRPr="0045530E" w:rsidRDefault="00B2332B" w:rsidP="00B2332B">
      <w:pPr>
        <w:ind w:leftChars="1204" w:left="3850" w:hangingChars="400" w:hanging="960"/>
        <w:jc w:val="both"/>
      </w:pPr>
    </w:p>
    <w:p w14:paraId="671FB0EC" w14:textId="77777777" w:rsidR="00B2332B" w:rsidRPr="0045530E" w:rsidRDefault="00B2332B" w:rsidP="00B2332B">
      <w:pPr>
        <w:ind w:leftChars="1500" w:left="4320" w:hangingChars="300" w:hanging="720"/>
        <w:jc w:val="both"/>
      </w:pPr>
      <w:r w:rsidRPr="0045530E">
        <w:t>(</w:t>
      </w:r>
      <w:proofErr w:type="spellStart"/>
      <w:r w:rsidRPr="0045530E">
        <w:t>i</w:t>
      </w:r>
      <w:proofErr w:type="spellEnd"/>
      <w:r w:rsidRPr="0045530E">
        <w:t>)</w:t>
      </w:r>
      <w:r w:rsidRPr="0045530E">
        <w:tab/>
        <w:t>The only liquid fuel used is Number two (No. 2) fuel oil that does not contain sulfur in excess of fifteen parts per million (15 ppm) by weight</w:t>
      </w:r>
      <w:r w:rsidR="009552CD">
        <w:t>,</w:t>
      </w:r>
      <w:r w:rsidRPr="0045530E">
        <w:t xml:space="preserve"> as determined in accordance with 20 DCMR § 502.6;</w:t>
      </w:r>
    </w:p>
    <w:p w14:paraId="45D32E51" w14:textId="77777777" w:rsidR="00B2332B" w:rsidRPr="0045530E" w:rsidRDefault="00B2332B" w:rsidP="00B2332B">
      <w:pPr>
        <w:ind w:leftChars="1500" w:left="4320" w:hangingChars="300" w:hanging="720"/>
        <w:jc w:val="both"/>
      </w:pPr>
    </w:p>
    <w:p w14:paraId="51A4B86F" w14:textId="77777777" w:rsidR="00B2332B" w:rsidRPr="0045530E" w:rsidRDefault="00B2332B" w:rsidP="00B2332B">
      <w:pPr>
        <w:ind w:leftChars="1500" w:left="4320" w:hangingChars="300" w:hanging="720"/>
        <w:jc w:val="both"/>
      </w:pPr>
      <w:r w:rsidRPr="0045530E">
        <w:t>(ii)</w:t>
      </w:r>
      <w:r w:rsidRPr="0045530E">
        <w:tab/>
      </w:r>
      <w:r w:rsidR="009552CD">
        <w:t>The turbine</w:t>
      </w:r>
      <w:r w:rsidRPr="0045530E">
        <w:t xml:space="preserve"> burns liquid fuel only during periods of natural gas curtailment, natural gas supply interruption, startups, or periodic testing on liquid fuel when such periodic testing does not exceed a combined total of forty-eight (48) hours during any calendar year;</w:t>
      </w:r>
    </w:p>
    <w:p w14:paraId="37446074" w14:textId="77777777" w:rsidR="00B2332B" w:rsidRPr="0045530E" w:rsidRDefault="00B2332B" w:rsidP="00B2332B">
      <w:pPr>
        <w:ind w:leftChars="1500" w:left="4320" w:hangingChars="300" w:hanging="720"/>
        <w:jc w:val="both"/>
      </w:pPr>
    </w:p>
    <w:p w14:paraId="55350BB8" w14:textId="0738AE8F" w:rsidR="00B2332B" w:rsidRPr="0045530E" w:rsidRDefault="00B2332B" w:rsidP="00B2332B">
      <w:pPr>
        <w:ind w:leftChars="1500" w:left="4320" w:hangingChars="300" w:hanging="720"/>
        <w:jc w:val="both"/>
      </w:pPr>
      <w:r w:rsidRPr="0045530E">
        <w:t>(iii)</w:t>
      </w:r>
      <w:r w:rsidRPr="0045530E">
        <w:tab/>
        <w:t>The owner or operator maintain</w:t>
      </w:r>
      <w:r w:rsidR="006F5A81">
        <w:t>s</w:t>
      </w:r>
      <w:r w:rsidRPr="0045530E">
        <w:t xml:space="preserve"> records of all instances of operation using liquid fuel, including the fuel used, the date and duration of the fuel use,  the reason for operating using that fuel, and all notifications received from the natural gas supplier notifying the owner or operator of the beginning or end of a natural gas interruption; and</w:t>
      </w:r>
    </w:p>
    <w:p w14:paraId="6F0F79EB" w14:textId="77777777" w:rsidR="00B2332B" w:rsidRPr="0045530E" w:rsidRDefault="00B2332B" w:rsidP="00B2332B">
      <w:pPr>
        <w:ind w:leftChars="1500" w:left="4320" w:hangingChars="300" w:hanging="720"/>
        <w:jc w:val="both"/>
      </w:pPr>
    </w:p>
    <w:p w14:paraId="3FC511AD" w14:textId="248D4A04" w:rsidR="00B2332B" w:rsidRPr="0045530E" w:rsidRDefault="00B2332B" w:rsidP="00B2332B">
      <w:pPr>
        <w:ind w:leftChars="1500" w:left="4320" w:hangingChars="300" w:hanging="720"/>
        <w:jc w:val="both"/>
      </w:pPr>
      <w:proofErr w:type="gramStart"/>
      <w:r w:rsidRPr="0045530E">
        <w:t>(iv)</w:t>
      </w:r>
      <w:r w:rsidRPr="0045530E">
        <w:tab/>
        <w:t>The</w:t>
      </w:r>
      <w:proofErr w:type="gramEnd"/>
      <w:r w:rsidRPr="0045530E">
        <w:t xml:space="preserve"> owner or operator maintain</w:t>
      </w:r>
      <w:r w:rsidR="006F5A81">
        <w:t>s</w:t>
      </w:r>
      <w:r w:rsidRPr="0045530E">
        <w:t xml:space="preserve"> a running calendar year sum of the duration of all liquid fuel use each year for purposes of periodic testing;</w:t>
      </w:r>
    </w:p>
    <w:p w14:paraId="0643E382" w14:textId="77777777" w:rsidR="00B2332B" w:rsidRPr="0045530E" w:rsidRDefault="00B2332B" w:rsidP="00B2332B">
      <w:pPr>
        <w:ind w:leftChars="1204" w:left="3850" w:hangingChars="400" w:hanging="960"/>
        <w:jc w:val="both"/>
      </w:pPr>
    </w:p>
    <w:p w14:paraId="757B948A" w14:textId="77777777" w:rsidR="00B2332B" w:rsidRPr="0045530E" w:rsidRDefault="00B2332B" w:rsidP="00B2332B">
      <w:pPr>
        <w:ind w:leftChars="900" w:left="2856" w:hangingChars="290" w:hanging="696"/>
        <w:jc w:val="both"/>
      </w:pPr>
      <w:r w:rsidRPr="0045530E">
        <w:t>(3)</w:t>
      </w:r>
      <w:r w:rsidRPr="0045530E">
        <w:tab/>
        <w:t xml:space="preserve">For any stationary combustion turbine with a heat input rating less than or equal to fifty million (50,000,000) BTU per hour, based on the higher heating value of the fuel: </w:t>
      </w:r>
    </w:p>
    <w:p w14:paraId="20FE79AE" w14:textId="77777777" w:rsidR="00B2332B" w:rsidRPr="0045530E" w:rsidRDefault="00B2332B" w:rsidP="00B2332B">
      <w:pPr>
        <w:ind w:leftChars="791" w:left="2858" w:hangingChars="400" w:hanging="960"/>
        <w:jc w:val="both"/>
      </w:pPr>
    </w:p>
    <w:p w14:paraId="5D8ED250" w14:textId="77777777" w:rsidR="00B2332B" w:rsidRPr="0045530E" w:rsidRDefault="00B2332B" w:rsidP="00B2332B">
      <w:pPr>
        <w:ind w:leftChars="1200" w:left="3600" w:hangingChars="300" w:hanging="720"/>
        <w:jc w:val="both"/>
      </w:pPr>
      <w:r w:rsidRPr="0045530E">
        <w:t>(A)</w:t>
      </w:r>
      <w:r w:rsidRPr="0045530E">
        <w:tab/>
        <w:t>Except as specified in § 805.4(a)(4), with any supplemental duct burner firing, emissions shall not be greater than:</w:t>
      </w:r>
    </w:p>
    <w:p w14:paraId="4B27398D" w14:textId="77777777" w:rsidR="00B2332B" w:rsidRPr="0045530E" w:rsidRDefault="00B2332B" w:rsidP="00B2332B">
      <w:pPr>
        <w:ind w:leftChars="791" w:left="2858" w:hangingChars="400" w:hanging="960"/>
        <w:jc w:val="both"/>
      </w:pPr>
    </w:p>
    <w:p w14:paraId="3AD7C50B" w14:textId="77777777" w:rsidR="00B2332B" w:rsidRPr="0045530E" w:rsidRDefault="00B2332B" w:rsidP="00B2332B">
      <w:pPr>
        <w:ind w:leftChars="1500" w:left="4320" w:hangingChars="300" w:hanging="720"/>
        <w:jc w:val="both"/>
      </w:pPr>
      <w:r w:rsidRPr="0045530E">
        <w:t>(</w:t>
      </w:r>
      <w:proofErr w:type="spellStart"/>
      <w:r w:rsidRPr="0045530E">
        <w:t>i</w:t>
      </w:r>
      <w:proofErr w:type="spellEnd"/>
      <w:r w:rsidRPr="0045530E">
        <w:t>)</w:t>
      </w:r>
      <w:r w:rsidRPr="0045530E">
        <w:tab/>
      </w:r>
      <w:r w:rsidR="00166E59" w:rsidRPr="0045530E">
        <w:t>When fired on any combination of gaseous fuels, t</w:t>
      </w:r>
      <w:r w:rsidRPr="0045530E">
        <w:t>wenty-five (25) ppmvd, corrected to fifteen percent (15%) O</w:t>
      </w:r>
      <w:r w:rsidRPr="0045530E">
        <w:rPr>
          <w:vertAlign w:val="subscript"/>
        </w:rPr>
        <w:t>2</w:t>
      </w:r>
      <w:r w:rsidRPr="0045530E">
        <w:t>; and</w:t>
      </w:r>
    </w:p>
    <w:p w14:paraId="02AF0347" w14:textId="77777777" w:rsidR="00B2332B" w:rsidRPr="0045530E" w:rsidRDefault="00B2332B" w:rsidP="00B2332B">
      <w:pPr>
        <w:ind w:leftChars="1500" w:left="4320" w:hangingChars="300" w:hanging="720"/>
        <w:jc w:val="both"/>
      </w:pPr>
    </w:p>
    <w:p w14:paraId="0F1D6AD3" w14:textId="77777777" w:rsidR="00D92C19" w:rsidRPr="0045530E" w:rsidRDefault="00B2332B" w:rsidP="00D92C19">
      <w:pPr>
        <w:ind w:leftChars="1500" w:left="4320" w:hangingChars="300" w:hanging="720"/>
        <w:jc w:val="both"/>
      </w:pPr>
      <w:r w:rsidRPr="0045530E">
        <w:t>(ii)</w:t>
      </w:r>
      <w:r w:rsidRPr="0045530E">
        <w:tab/>
      </w:r>
      <w:r w:rsidR="00166E59" w:rsidRPr="0045530E">
        <w:t xml:space="preserve">When fired on </w:t>
      </w:r>
      <w:r w:rsidR="00EA5C55" w:rsidRPr="0045530E">
        <w:t xml:space="preserve">any combination of </w:t>
      </w:r>
      <w:r w:rsidR="00166E59" w:rsidRPr="0045530E">
        <w:t>liquid fuel</w:t>
      </w:r>
      <w:r w:rsidR="00EA5C55" w:rsidRPr="0045530E">
        <w:t>s</w:t>
      </w:r>
      <w:r w:rsidR="00166E59" w:rsidRPr="0045530E">
        <w:t>, f</w:t>
      </w:r>
      <w:r w:rsidRPr="0045530E">
        <w:t>orty-two (42) ppmvd, corrected to fifteen percent (15%) O</w:t>
      </w:r>
      <w:r w:rsidRPr="0045530E">
        <w:rPr>
          <w:vertAlign w:val="subscript"/>
        </w:rPr>
        <w:t>2</w:t>
      </w:r>
      <w:r w:rsidRPr="0045530E">
        <w:t>;</w:t>
      </w:r>
    </w:p>
    <w:p w14:paraId="7697E4B0" w14:textId="77777777" w:rsidR="00B2332B" w:rsidRPr="0045530E" w:rsidRDefault="00B2332B" w:rsidP="00B2332B">
      <w:pPr>
        <w:ind w:leftChars="1204" w:left="3850" w:hangingChars="400" w:hanging="960"/>
        <w:jc w:val="both"/>
      </w:pPr>
    </w:p>
    <w:p w14:paraId="3C2D2215" w14:textId="77777777" w:rsidR="00B2332B" w:rsidRPr="0045530E" w:rsidRDefault="00B2332B" w:rsidP="00B2332B">
      <w:pPr>
        <w:tabs>
          <w:tab w:val="left" w:pos="4020"/>
        </w:tabs>
        <w:ind w:leftChars="1204" w:left="3689" w:hangingChars="333" w:hanging="799"/>
        <w:jc w:val="both"/>
      </w:pPr>
      <w:r w:rsidRPr="0045530E">
        <w:t>(B)</w:t>
      </w:r>
      <w:r w:rsidRPr="0045530E">
        <w:tab/>
        <w:t>Only the peak heat input rating of the stationary combustion turbine shall be included when determining whether or not § 805.4(a</w:t>
      </w:r>
      <w:proofErr w:type="gramStart"/>
      <w:r w:rsidRPr="0045530E">
        <w:t>)(</w:t>
      </w:r>
      <w:proofErr w:type="gramEnd"/>
      <w:r w:rsidRPr="0045530E">
        <w:t xml:space="preserve">3) is applicable. Any additional heat input to associated heat recovery steam generators or </w:t>
      </w:r>
      <w:r w:rsidRPr="0045530E">
        <w:lastRenderedPageBreak/>
        <w:t>duct burners shall not be included when determining the peak heat input to the stationary combustion turbine; and</w:t>
      </w:r>
    </w:p>
    <w:p w14:paraId="2A815A12" w14:textId="77777777" w:rsidR="00B2332B" w:rsidRPr="0045530E" w:rsidRDefault="00B2332B" w:rsidP="00B2332B">
      <w:pPr>
        <w:tabs>
          <w:tab w:val="left" w:pos="4020"/>
        </w:tabs>
        <w:ind w:leftChars="1204" w:left="3850" w:hangingChars="400" w:hanging="960"/>
        <w:jc w:val="both"/>
      </w:pPr>
    </w:p>
    <w:p w14:paraId="3F69213B" w14:textId="77777777" w:rsidR="00B2332B" w:rsidRPr="0045530E" w:rsidRDefault="00B2332B" w:rsidP="00B2332B">
      <w:pPr>
        <w:ind w:left="3690" w:hanging="810"/>
        <w:jc w:val="both"/>
      </w:pPr>
      <w:r w:rsidRPr="0045530E">
        <w:t>(C)</w:t>
      </w:r>
      <w:r w:rsidRPr="0045530E">
        <w:tab/>
        <w:t>When fifty percent (50 %) or more of the total heat input is from gaseous fuels, the emission limitation in § 805.4(a)(3)(A)(</w:t>
      </w:r>
      <w:proofErr w:type="spellStart"/>
      <w:r w:rsidRPr="0045530E">
        <w:t>i</w:t>
      </w:r>
      <w:proofErr w:type="spellEnd"/>
      <w:r w:rsidRPr="0045530E">
        <w:t xml:space="preserve">) applies, but when more than fifty percent (50 %) of the total heat input is from liquid fuels, the emission limitation in § 805.4(a)(3)(A)(ii) applies; </w:t>
      </w:r>
    </w:p>
    <w:p w14:paraId="3F2CB338" w14:textId="77777777" w:rsidR="00B2332B" w:rsidRPr="0045530E" w:rsidRDefault="00B2332B" w:rsidP="00B2332B">
      <w:pPr>
        <w:ind w:leftChars="1204" w:left="3850" w:hangingChars="400" w:hanging="960"/>
        <w:jc w:val="both"/>
      </w:pPr>
    </w:p>
    <w:p w14:paraId="30E43C91" w14:textId="77777777" w:rsidR="00B2332B" w:rsidRPr="0045530E" w:rsidRDefault="00B2332B" w:rsidP="00B2332B">
      <w:pPr>
        <w:ind w:leftChars="900" w:left="2856" w:hangingChars="290" w:hanging="696"/>
        <w:jc w:val="both"/>
      </w:pPr>
      <w:r w:rsidRPr="0045530E">
        <w:t>(4)</w:t>
      </w:r>
      <w:r w:rsidRPr="0045530E">
        <w:tab/>
        <w:t>For any stationary combustion turbine with a heat input rating less than or equal to ten million (10,000,000) BTU per hour and fired exclusively on natural gas:</w:t>
      </w:r>
    </w:p>
    <w:p w14:paraId="3EF45C9E" w14:textId="77777777" w:rsidR="00B2332B" w:rsidRPr="0045530E" w:rsidRDefault="00B2332B" w:rsidP="00B2332B">
      <w:pPr>
        <w:ind w:leftChars="791" w:left="2858" w:hangingChars="400" w:hanging="960"/>
        <w:jc w:val="both"/>
      </w:pPr>
    </w:p>
    <w:p w14:paraId="3F92005A" w14:textId="77777777" w:rsidR="00B2332B" w:rsidRPr="0045530E" w:rsidRDefault="00B2332B" w:rsidP="00B2332B">
      <w:pPr>
        <w:ind w:leftChars="1204" w:left="3850" w:hangingChars="400" w:hanging="960"/>
        <w:jc w:val="both"/>
      </w:pPr>
      <w:r w:rsidRPr="0045530E">
        <w:t>(A)</w:t>
      </w:r>
      <w:r w:rsidRPr="0045530E">
        <w:tab/>
        <w:t>Compliance with § 805.4(a)(7) shall be maintained; and</w:t>
      </w:r>
    </w:p>
    <w:p w14:paraId="5F244633" w14:textId="77777777" w:rsidR="00B2332B" w:rsidRPr="0045530E" w:rsidRDefault="00B2332B" w:rsidP="00B2332B">
      <w:pPr>
        <w:ind w:leftChars="800" w:left="2880" w:hangingChars="400" w:hanging="960"/>
        <w:jc w:val="both"/>
      </w:pPr>
    </w:p>
    <w:p w14:paraId="0DA5F3A3" w14:textId="77777777" w:rsidR="00B2332B" w:rsidRPr="0045530E" w:rsidRDefault="00B2332B" w:rsidP="00B2332B">
      <w:pPr>
        <w:ind w:leftChars="1204" w:left="3850" w:hangingChars="400" w:hanging="960"/>
        <w:jc w:val="both"/>
      </w:pPr>
      <w:r w:rsidRPr="0045530E">
        <w:t>(B)</w:t>
      </w:r>
      <w:r w:rsidRPr="0045530E">
        <w:tab/>
        <w:t>Only the peak heat input rating of the stationary combustion turbine shall be included when determining whether or not § 805.4(a</w:t>
      </w:r>
      <w:proofErr w:type="gramStart"/>
      <w:r w:rsidRPr="0045530E">
        <w:t>)(</w:t>
      </w:r>
      <w:proofErr w:type="gramEnd"/>
      <w:r w:rsidRPr="0045530E">
        <w:t>4) is applicable. Any additional heat input to associated heat recovery steam generators or duct burners shall not be included when determining the peak heat input to the stationary combustion turbine;</w:t>
      </w:r>
    </w:p>
    <w:p w14:paraId="32807747" w14:textId="77777777" w:rsidR="00B2332B" w:rsidRPr="0045530E" w:rsidRDefault="00B2332B" w:rsidP="00B2332B">
      <w:pPr>
        <w:ind w:leftChars="1204" w:left="3850" w:hangingChars="400" w:hanging="960"/>
        <w:jc w:val="both"/>
      </w:pPr>
    </w:p>
    <w:p w14:paraId="056CA814" w14:textId="77777777" w:rsidR="00B2332B" w:rsidRPr="0045530E" w:rsidRDefault="00B2332B" w:rsidP="00B2332B">
      <w:pPr>
        <w:ind w:leftChars="900" w:left="2856" w:hangingChars="290" w:hanging="696"/>
        <w:jc w:val="both"/>
      </w:pPr>
      <w:r w:rsidRPr="0045530E">
        <w:t>(5)</w:t>
      </w:r>
      <w:r w:rsidRPr="0045530E">
        <w:tab/>
        <w:t>No combustion turbine shall be fired on coal or a synthetic fuel derived from coal;</w:t>
      </w:r>
    </w:p>
    <w:p w14:paraId="3478AD1B" w14:textId="77777777" w:rsidR="00B2332B" w:rsidRPr="0045530E" w:rsidRDefault="00B2332B" w:rsidP="00B2332B">
      <w:pPr>
        <w:ind w:leftChars="900" w:left="2856" w:hangingChars="290" w:hanging="696"/>
        <w:jc w:val="both"/>
      </w:pPr>
    </w:p>
    <w:p w14:paraId="1495B43C" w14:textId="77777777" w:rsidR="00B2332B" w:rsidRPr="0045530E" w:rsidRDefault="00B2332B" w:rsidP="00B2332B">
      <w:pPr>
        <w:ind w:leftChars="900" w:left="2856" w:hangingChars="290" w:hanging="696"/>
        <w:jc w:val="both"/>
      </w:pPr>
      <w:r w:rsidRPr="0045530E">
        <w:t>(6)</w:t>
      </w:r>
      <w:r w:rsidRPr="0045530E">
        <w:tab/>
        <w:t>Any stationary combustion turbine designed to be fired on any solid fuel other than coal or synthetic fuel derived from any other solid than coal shall comply with the requirements of §§ 805.4(a)(7) and 805.</w:t>
      </w:r>
      <w:r w:rsidR="00F43730" w:rsidRPr="0045530E">
        <w:t>8</w:t>
      </w:r>
      <w:r w:rsidRPr="0045530E">
        <w:t xml:space="preserve">; </w:t>
      </w:r>
    </w:p>
    <w:p w14:paraId="4E3029F4" w14:textId="77777777" w:rsidR="00B2332B" w:rsidRPr="0045530E" w:rsidRDefault="00B2332B" w:rsidP="00B2332B">
      <w:pPr>
        <w:ind w:leftChars="900" w:left="2856" w:hangingChars="290" w:hanging="696"/>
        <w:jc w:val="both"/>
      </w:pPr>
    </w:p>
    <w:p w14:paraId="28C64C69" w14:textId="5B5D396B" w:rsidR="00B2332B" w:rsidRPr="0045530E" w:rsidRDefault="00B2332B" w:rsidP="00B2332B">
      <w:pPr>
        <w:ind w:leftChars="900" w:left="2856" w:hangingChars="290" w:hanging="696"/>
        <w:jc w:val="both"/>
      </w:pPr>
      <w:r w:rsidRPr="0045530E">
        <w:t>(7)</w:t>
      </w:r>
      <w:r w:rsidRPr="0045530E">
        <w:tab/>
        <w:t xml:space="preserve">Any duct burner servicing a stationary combustion turbine regulated under § 805.4 is exempt from </w:t>
      </w:r>
      <w:r w:rsidR="006F5A81">
        <w:t xml:space="preserve">the requirements of </w:t>
      </w:r>
      <w:r w:rsidRPr="0045530E">
        <w:t>§ 805.5</w:t>
      </w:r>
      <w:r w:rsidR="002E0356" w:rsidRPr="0045530E">
        <w:t>; and</w:t>
      </w:r>
      <w:r w:rsidRPr="0045530E">
        <w:t xml:space="preserve"> </w:t>
      </w:r>
    </w:p>
    <w:p w14:paraId="5A6E18A8" w14:textId="77777777" w:rsidR="00B2332B" w:rsidRPr="0045530E" w:rsidRDefault="00B2332B" w:rsidP="00B2332B">
      <w:pPr>
        <w:ind w:leftChars="900" w:left="2856" w:hangingChars="290" w:hanging="696"/>
        <w:jc w:val="both"/>
      </w:pPr>
    </w:p>
    <w:p w14:paraId="4CB4CDEE" w14:textId="77777777" w:rsidR="00B2332B" w:rsidRPr="0045530E" w:rsidRDefault="00B2332B" w:rsidP="00B2332B">
      <w:pPr>
        <w:ind w:leftChars="900" w:left="2856" w:hangingChars="290" w:hanging="696"/>
        <w:jc w:val="both"/>
      </w:pPr>
      <w:r w:rsidRPr="0045530E">
        <w:t>(8)</w:t>
      </w:r>
      <w:r w:rsidRPr="0045530E">
        <w:tab/>
        <w:t>Any stationary combustion turbine subject to § 805 shall be maintained and operated in a manner consistent with good air pollution control practices for minimizing emissions at all times, including during startup, shutdown, and malfunction, and shall be maintained in accordance with one of the following:</w:t>
      </w:r>
    </w:p>
    <w:p w14:paraId="4F4D08B0" w14:textId="77777777" w:rsidR="00B2332B" w:rsidRPr="0045530E" w:rsidRDefault="00B2332B" w:rsidP="00B2332B">
      <w:pPr>
        <w:ind w:leftChars="791" w:left="2858" w:hangingChars="400" w:hanging="960"/>
        <w:jc w:val="both"/>
      </w:pPr>
    </w:p>
    <w:p w14:paraId="595330FC" w14:textId="77777777" w:rsidR="00B2332B" w:rsidRPr="0045530E" w:rsidRDefault="00B2332B" w:rsidP="00B2332B">
      <w:pPr>
        <w:ind w:leftChars="1204" w:left="3598" w:hangingChars="295" w:hanging="708"/>
        <w:jc w:val="both"/>
      </w:pPr>
      <w:r w:rsidRPr="0045530E">
        <w:t>(A)</w:t>
      </w:r>
      <w:r w:rsidRPr="0045530E">
        <w:tab/>
        <w:t xml:space="preserve">The manufacturer’s emission-related written instructions; or </w:t>
      </w:r>
    </w:p>
    <w:p w14:paraId="678B26B6" w14:textId="77777777" w:rsidR="00B2332B" w:rsidRPr="0045530E" w:rsidRDefault="00B2332B" w:rsidP="00B2332B">
      <w:pPr>
        <w:ind w:leftChars="1204" w:left="3598" w:hangingChars="295" w:hanging="708"/>
        <w:jc w:val="both"/>
      </w:pPr>
    </w:p>
    <w:p w14:paraId="6058F4EC" w14:textId="77777777" w:rsidR="00B2332B" w:rsidRPr="0045530E" w:rsidRDefault="00B2332B" w:rsidP="00B2332B">
      <w:pPr>
        <w:ind w:leftChars="1204" w:left="3598" w:hangingChars="295" w:hanging="708"/>
        <w:jc w:val="both"/>
      </w:pPr>
      <w:r w:rsidRPr="0045530E">
        <w:t>(B)</w:t>
      </w:r>
      <w:r w:rsidRPr="0045530E">
        <w:tab/>
        <w:t xml:space="preserve">An alternate written maintenance plan approved in writing by the Department; </w:t>
      </w:r>
    </w:p>
    <w:p w14:paraId="4FB8F5A6" w14:textId="77777777" w:rsidR="00B2332B" w:rsidRPr="0045530E" w:rsidRDefault="00B2332B" w:rsidP="00B2332B">
      <w:pPr>
        <w:ind w:left="960" w:hangingChars="400" w:hanging="960"/>
        <w:jc w:val="both"/>
      </w:pPr>
    </w:p>
    <w:p w14:paraId="05B4BB13" w14:textId="77777777" w:rsidR="006F5A81" w:rsidRDefault="00B2332B" w:rsidP="006F5A81">
      <w:pPr>
        <w:ind w:leftChars="600" w:left="2160" w:hangingChars="300" w:hanging="720"/>
        <w:jc w:val="both"/>
      </w:pPr>
      <w:r w:rsidRPr="0045530E">
        <w:t>(b)</w:t>
      </w:r>
      <w:r w:rsidRPr="0045530E">
        <w:tab/>
        <w:t xml:space="preserve">Any person required to comply with § 805.4 shall maintain continuous compliance </w:t>
      </w:r>
      <w:r w:rsidR="009C4A5E" w:rsidRPr="0045530E">
        <w:t>th</w:t>
      </w:r>
      <w:r w:rsidR="0089593B" w:rsidRPr="0045530E">
        <w:t>r</w:t>
      </w:r>
      <w:r w:rsidR="009C4A5E" w:rsidRPr="0045530E">
        <w:t>ough</w:t>
      </w:r>
      <w:r w:rsidR="00C777D3">
        <w:t>:</w:t>
      </w:r>
      <w:r w:rsidR="009C4A5E" w:rsidRPr="0045530E">
        <w:t xml:space="preserve"> </w:t>
      </w:r>
    </w:p>
    <w:p w14:paraId="01796C3F" w14:textId="77777777" w:rsidR="006F5A81" w:rsidRDefault="006F5A81" w:rsidP="006F5A81">
      <w:pPr>
        <w:ind w:leftChars="600" w:left="2160" w:hangingChars="300" w:hanging="720"/>
        <w:jc w:val="both"/>
      </w:pPr>
    </w:p>
    <w:p w14:paraId="2A3A6409" w14:textId="2270A007" w:rsidR="00C777D3" w:rsidRDefault="00C777D3" w:rsidP="003D72EF">
      <w:pPr>
        <w:pStyle w:val="ListParagraph"/>
        <w:numPr>
          <w:ilvl w:val="0"/>
          <w:numId w:val="28"/>
        </w:numPr>
        <w:ind w:left="2880" w:hanging="720"/>
        <w:jc w:val="both"/>
      </w:pPr>
      <w:r>
        <w:t>I</w:t>
      </w:r>
      <w:r w:rsidR="009C4A5E" w:rsidRPr="0045530E">
        <w:t>nstall</w:t>
      </w:r>
      <w:r w:rsidR="00CE4725" w:rsidRPr="0045530E">
        <w:t>at</w:t>
      </w:r>
      <w:r w:rsidR="009C4A5E" w:rsidRPr="0045530E">
        <w:t>ion and operation of</w:t>
      </w:r>
      <w:r w:rsidR="00B2332B" w:rsidRPr="0045530E">
        <w:t xml:space="preserve"> a continuous emissions monitoring system</w:t>
      </w:r>
      <w:r w:rsidR="006E6D2D" w:rsidRPr="0045530E">
        <w:t xml:space="preserve"> as </w:t>
      </w:r>
      <w:r w:rsidR="0089593B" w:rsidRPr="0045530E">
        <w:t xml:space="preserve">specified </w:t>
      </w:r>
      <w:r w:rsidR="006E6D2D" w:rsidRPr="0045530E">
        <w:t xml:space="preserve">in § </w:t>
      </w:r>
      <w:r w:rsidR="00F43730" w:rsidRPr="0045530E">
        <w:t>805.10</w:t>
      </w:r>
      <w:r w:rsidR="006E6D2D" w:rsidRPr="0045530E">
        <w:t>(</w:t>
      </w:r>
      <w:r w:rsidR="00935F6C" w:rsidRPr="0045530E">
        <w:t>a</w:t>
      </w:r>
      <w:r w:rsidR="006E6D2D" w:rsidRPr="0045530E">
        <w:t>)</w:t>
      </w:r>
      <w:r w:rsidR="00DF3E38" w:rsidRPr="0045530E">
        <w:t>(1)</w:t>
      </w:r>
      <w:r>
        <w:t>;</w:t>
      </w:r>
      <w:r w:rsidR="006E6D2D" w:rsidRPr="0045530E">
        <w:t xml:space="preserve"> or </w:t>
      </w:r>
    </w:p>
    <w:p w14:paraId="1D1C7B20" w14:textId="77777777" w:rsidR="00C777D3" w:rsidRDefault="00C777D3" w:rsidP="003D72EF">
      <w:pPr>
        <w:pStyle w:val="ListParagraph"/>
        <w:ind w:left="2880"/>
        <w:jc w:val="both"/>
      </w:pPr>
    </w:p>
    <w:p w14:paraId="6CE41CF5" w14:textId="6F696171" w:rsidR="00B2332B" w:rsidRPr="0045530E" w:rsidRDefault="00C777D3" w:rsidP="003D72EF">
      <w:pPr>
        <w:ind w:leftChars="900" w:left="2880" w:hangingChars="300" w:hanging="720"/>
        <w:jc w:val="both"/>
      </w:pPr>
      <w:r>
        <w:t>(2)</w:t>
      </w:r>
      <w:r>
        <w:tab/>
        <w:t>B</w:t>
      </w:r>
      <w:r w:rsidR="00B2332B" w:rsidRPr="0045530E">
        <w:t xml:space="preserve">y testing </w:t>
      </w:r>
      <w:r w:rsidR="0065246D" w:rsidRPr="0045530E">
        <w:t xml:space="preserve">as </w:t>
      </w:r>
      <w:r w:rsidR="0089593B" w:rsidRPr="0045530E">
        <w:t xml:space="preserve">specified </w:t>
      </w:r>
      <w:r w:rsidR="0065246D" w:rsidRPr="0045530E">
        <w:t xml:space="preserve">in § </w:t>
      </w:r>
      <w:r w:rsidR="00F43730" w:rsidRPr="0045530E">
        <w:t>805.10</w:t>
      </w:r>
      <w:r w:rsidR="0065246D" w:rsidRPr="0045530E">
        <w:t>(</w:t>
      </w:r>
      <w:r w:rsidR="00DF3E38" w:rsidRPr="0045530E">
        <w:t>a</w:t>
      </w:r>
      <w:r w:rsidR="0065246D" w:rsidRPr="0045530E">
        <w:t>)</w:t>
      </w:r>
      <w:r w:rsidR="00DF3E38" w:rsidRPr="0045530E">
        <w:t>(2)</w:t>
      </w:r>
      <w:r w:rsidR="006E6D2D" w:rsidRPr="0045530E">
        <w:t xml:space="preserve"> </w:t>
      </w:r>
      <w:r>
        <w:t>o</w:t>
      </w:r>
      <w:r w:rsidR="00B2332B" w:rsidRPr="0045530E">
        <w:t>nce within one hundred and eighty (180) days of either initial start-up of the unit or the date of the applicability of § 805 to the unit, whichever is later</w:t>
      </w:r>
      <w:r w:rsidR="006F5A81">
        <w:t xml:space="preserve">, </w:t>
      </w:r>
      <w:r>
        <w:t xml:space="preserve">and conducting subsequent testing </w:t>
      </w:r>
      <w:r w:rsidR="006F5A81">
        <w:t>as follows</w:t>
      </w:r>
      <w:r w:rsidR="00225D31">
        <w:t>:</w:t>
      </w:r>
    </w:p>
    <w:p w14:paraId="70F10760" w14:textId="77777777" w:rsidR="009552CD" w:rsidRPr="0045530E" w:rsidRDefault="009552CD" w:rsidP="003D72EF">
      <w:pPr>
        <w:jc w:val="both"/>
      </w:pPr>
    </w:p>
    <w:p w14:paraId="69B4E04A" w14:textId="7C0DD6F2" w:rsidR="00B2332B" w:rsidRPr="0045530E" w:rsidRDefault="00A0117C" w:rsidP="003D72EF">
      <w:pPr>
        <w:ind w:leftChars="1200" w:left="3600" w:hanging="720"/>
        <w:jc w:val="both"/>
      </w:pPr>
      <w:r w:rsidRPr="0045530E" w:rsidDel="00A0117C">
        <w:t xml:space="preserve"> </w:t>
      </w:r>
      <w:r w:rsidR="00B2332B" w:rsidRPr="0045530E">
        <w:t>(</w:t>
      </w:r>
      <w:r w:rsidR="00382C5F">
        <w:t>A</w:t>
      </w:r>
      <w:r w:rsidR="00B2332B" w:rsidRPr="0045530E">
        <w:t>)</w:t>
      </w:r>
      <w:r w:rsidR="00B2332B" w:rsidRPr="0045530E">
        <w:tab/>
        <w:t xml:space="preserve">For units with heat input ratings greater than ten million (10,000,000) BTU per hour, based on the higher heating value of the fuel, subsequent tests shall be performed once each calendar year and no more than fourteen (14) calendar months following the previous performance test, unless the </w:t>
      </w:r>
      <w:r w:rsidR="00754151">
        <w:t xml:space="preserve">previous </w:t>
      </w:r>
      <w:r w:rsidR="00B2332B" w:rsidRPr="0045530E">
        <w:t>performance test results show emissions are less than or equal to seventy-five percent (75%) of the applicable emission limit, in which case the subsequent test must be performed once during the next two calendar years and no more than twenty-six (26) calendar months following the previous performance test; and</w:t>
      </w:r>
    </w:p>
    <w:p w14:paraId="5B0D5ECF" w14:textId="77777777" w:rsidR="00B2332B" w:rsidRPr="0045530E" w:rsidRDefault="00B2332B" w:rsidP="00AA1174">
      <w:pPr>
        <w:ind w:leftChars="862" w:left="2789" w:hanging="720"/>
        <w:jc w:val="both"/>
      </w:pPr>
    </w:p>
    <w:p w14:paraId="2AFB0291" w14:textId="39FBFF1F" w:rsidR="00B2332B" w:rsidRPr="0045530E" w:rsidRDefault="00B2332B" w:rsidP="003D72EF">
      <w:pPr>
        <w:autoSpaceDE w:val="0"/>
        <w:autoSpaceDN w:val="0"/>
        <w:adjustRightInd w:val="0"/>
        <w:ind w:leftChars="1200" w:left="3600" w:hanging="720"/>
        <w:jc w:val="both"/>
      </w:pPr>
      <w:r w:rsidRPr="0045530E">
        <w:t>(</w:t>
      </w:r>
      <w:r w:rsidR="00382C5F">
        <w:t>B</w:t>
      </w:r>
      <w:r w:rsidRPr="0045530E">
        <w:t>)</w:t>
      </w:r>
      <w:r w:rsidRPr="0045530E">
        <w:tab/>
        <w:t>For units with heat input ratings less than or equal to ten million (10,000,000) BTU per hour, based on the higher heating value of the fuel, and subject to a maximum allowable NOx emission rate in § 805.4, subsequent tests shall be performed once every five (5) calendar years and no more than sixty-two (62) months after the previous performance test</w:t>
      </w:r>
      <w:r w:rsidR="007840FE" w:rsidRPr="0045530E">
        <w:t>; and</w:t>
      </w:r>
    </w:p>
    <w:p w14:paraId="7A9E4692" w14:textId="77777777" w:rsidR="007840FE" w:rsidRPr="0045530E" w:rsidRDefault="007840FE" w:rsidP="00AA1174">
      <w:pPr>
        <w:autoSpaceDE w:val="0"/>
        <w:autoSpaceDN w:val="0"/>
        <w:adjustRightInd w:val="0"/>
        <w:ind w:leftChars="862" w:left="2789" w:hanging="720"/>
        <w:jc w:val="both"/>
      </w:pPr>
    </w:p>
    <w:p w14:paraId="25063D56" w14:textId="77777777" w:rsidR="007840FE" w:rsidRPr="0045530E" w:rsidRDefault="007840FE" w:rsidP="005F08CF">
      <w:pPr>
        <w:autoSpaceDE w:val="0"/>
        <w:autoSpaceDN w:val="0"/>
        <w:adjustRightInd w:val="0"/>
        <w:ind w:left="2160" w:hanging="720"/>
        <w:jc w:val="both"/>
      </w:pPr>
      <w:r w:rsidRPr="0045530E">
        <w:t xml:space="preserve">(c)  </w:t>
      </w:r>
      <w:r w:rsidR="00754151">
        <w:tab/>
      </w:r>
      <w:r w:rsidRPr="0045530E">
        <w:t xml:space="preserve">Any person required to comply with § 805.4 shall keep records as specified in § 805.11. </w:t>
      </w:r>
    </w:p>
    <w:p w14:paraId="7B6BCE1A" w14:textId="77777777" w:rsidR="00B2332B" w:rsidRPr="0045530E" w:rsidRDefault="00B2332B">
      <w:pPr>
        <w:ind w:left="960" w:hangingChars="400" w:hanging="960"/>
        <w:jc w:val="both"/>
      </w:pPr>
    </w:p>
    <w:p w14:paraId="71CEAEAF" w14:textId="77777777" w:rsidR="00B2332B" w:rsidRPr="0045530E" w:rsidRDefault="00B2332B" w:rsidP="00B2332B">
      <w:pPr>
        <w:ind w:left="960" w:hangingChars="400" w:hanging="960"/>
        <w:jc w:val="both"/>
      </w:pPr>
      <w:r w:rsidRPr="0045530E">
        <w:t>805.5</w:t>
      </w:r>
      <w:r w:rsidRPr="0045530E">
        <w:tab/>
      </w:r>
      <w:r w:rsidR="00C8055F" w:rsidRPr="0045530E">
        <w:rPr>
          <w:i/>
        </w:rPr>
        <w:t>Fuel burning equipment.</w:t>
      </w:r>
      <w:r w:rsidR="00C8055F" w:rsidRPr="0045530E">
        <w:t xml:space="preserve">  </w:t>
      </w:r>
      <w:r w:rsidRPr="0045530E">
        <w:t>Any person owning, leasing, operating</w:t>
      </w:r>
      <w:r w:rsidR="00754151">
        <w:t>,</w:t>
      </w:r>
      <w:r w:rsidRPr="0045530E">
        <w:t xml:space="preserve"> or controlling any </w:t>
      </w:r>
      <w:r w:rsidR="002D3975" w:rsidRPr="0045530E">
        <w:t>fuel</w:t>
      </w:r>
      <w:r w:rsidR="000F7D19" w:rsidRPr="0045530E">
        <w:t xml:space="preserve"> burning equipment</w:t>
      </w:r>
      <w:r w:rsidRPr="0045530E">
        <w:t xml:space="preserve"> subject to § 805:</w:t>
      </w:r>
    </w:p>
    <w:p w14:paraId="21105781" w14:textId="77777777" w:rsidR="00B2332B" w:rsidRPr="0045530E" w:rsidRDefault="00B2332B" w:rsidP="00B2332B">
      <w:pPr>
        <w:ind w:left="960" w:hangingChars="400" w:hanging="960"/>
        <w:jc w:val="both"/>
      </w:pPr>
    </w:p>
    <w:p w14:paraId="0AF9A0F2" w14:textId="72ECEA67" w:rsidR="00B2332B" w:rsidRPr="0045530E" w:rsidRDefault="00B2332B" w:rsidP="00B2332B">
      <w:pPr>
        <w:ind w:leftChars="600" w:left="2160" w:hangingChars="300" w:hanging="720"/>
        <w:jc w:val="both"/>
      </w:pPr>
      <w:r w:rsidRPr="0045530E">
        <w:t>(a)</w:t>
      </w:r>
      <w:r w:rsidRPr="0045530E">
        <w:tab/>
      </w:r>
      <w:r w:rsidR="00837BB1">
        <w:t xml:space="preserve">After May 31 </w:t>
      </w:r>
      <w:r w:rsidR="002A5E0D" w:rsidRPr="0045530E">
        <w:t>1995</w:t>
      </w:r>
      <w:r w:rsidR="00837BB1">
        <w:t>,</w:t>
      </w:r>
      <w:r w:rsidR="007134DF" w:rsidRPr="0045530E">
        <w:t xml:space="preserve"> and ending December 31, 2021</w:t>
      </w:r>
      <w:r w:rsidR="002A5E0D" w:rsidRPr="0045530E">
        <w:t xml:space="preserve">, </w:t>
      </w:r>
      <w:r w:rsidR="00754151">
        <w:t xml:space="preserve">for </w:t>
      </w:r>
      <w:r w:rsidRPr="0045530E">
        <w:t xml:space="preserve">any fossil-fuel-fired steam-generating unit with a </w:t>
      </w:r>
      <w:r w:rsidR="00CA22FD" w:rsidRPr="0045530E">
        <w:t xml:space="preserve">heat </w:t>
      </w:r>
      <w:r w:rsidRPr="0045530E">
        <w:t xml:space="preserve">input capacity of twenty million (20,000,000) BTU per hour or greater shall, prior to May 1st </w:t>
      </w:r>
      <w:r w:rsidR="00AF2519" w:rsidRPr="0045530E">
        <w:t>of every year</w:t>
      </w:r>
      <w:r w:rsidR="00754151">
        <w:t>,</w:t>
      </w:r>
      <w:r w:rsidR="00AF2519" w:rsidRPr="0045530E">
        <w:t xml:space="preserve"> </w:t>
      </w:r>
      <w:r w:rsidRPr="0045530E">
        <w:t>adjust the combustion process in accordance with the procedure for doing so set forth at § 805.</w:t>
      </w:r>
      <w:r w:rsidR="00F43730" w:rsidRPr="0045530E">
        <w:t>9</w:t>
      </w:r>
      <w:r w:rsidR="002D3975" w:rsidRPr="0045530E">
        <w:t xml:space="preserve">; </w:t>
      </w:r>
    </w:p>
    <w:p w14:paraId="25A0166B" w14:textId="77777777" w:rsidR="00B2332B" w:rsidRPr="0045530E" w:rsidRDefault="00B2332B" w:rsidP="00B2332B">
      <w:pPr>
        <w:ind w:leftChars="600" w:left="2160" w:hangingChars="300" w:hanging="720"/>
        <w:jc w:val="both"/>
      </w:pPr>
    </w:p>
    <w:p w14:paraId="0988CAAF" w14:textId="77777777" w:rsidR="002D3975" w:rsidRPr="0045530E" w:rsidRDefault="002A5E0D" w:rsidP="002A5E0D">
      <w:pPr>
        <w:ind w:leftChars="600" w:left="2160" w:hangingChars="300" w:hanging="720"/>
        <w:jc w:val="both"/>
      </w:pPr>
      <w:r w:rsidRPr="0045530E">
        <w:lastRenderedPageBreak/>
        <w:t>(b)</w:t>
      </w:r>
      <w:r w:rsidRPr="0045530E">
        <w:tab/>
      </w:r>
      <w:r w:rsidR="00837BB1">
        <w:t>Beginning January 1</w:t>
      </w:r>
      <w:r w:rsidRPr="0045530E">
        <w:t xml:space="preserve"> 2022, </w:t>
      </w:r>
      <w:r w:rsidR="00754151">
        <w:t xml:space="preserve">for </w:t>
      </w:r>
      <w:r w:rsidRPr="0045530E">
        <w:t>any fuel</w:t>
      </w:r>
      <w:r w:rsidR="000F7D19" w:rsidRPr="0045530E">
        <w:t xml:space="preserve"> burning equipment</w:t>
      </w:r>
      <w:r w:rsidRPr="0045530E">
        <w:t xml:space="preserve"> with a </w:t>
      </w:r>
      <w:r w:rsidR="00C97E64" w:rsidRPr="0045530E">
        <w:t xml:space="preserve">heat </w:t>
      </w:r>
      <w:r w:rsidRPr="0045530E">
        <w:t xml:space="preserve">input capacity of </w:t>
      </w:r>
      <w:r w:rsidR="000E0A90" w:rsidRPr="0045530E">
        <w:t>five</w:t>
      </w:r>
      <w:r w:rsidR="000C6CAD" w:rsidRPr="0045530E">
        <w:t xml:space="preserve"> </w:t>
      </w:r>
      <w:r w:rsidRPr="0045530E">
        <w:t>million (</w:t>
      </w:r>
      <w:r w:rsidR="000E0A90" w:rsidRPr="0045530E">
        <w:t>5</w:t>
      </w:r>
      <w:r w:rsidRPr="0045530E">
        <w:t xml:space="preserve">,000,000) BTU per hour or greater shall, prior to </w:t>
      </w:r>
      <w:r w:rsidR="007B4EDC" w:rsidRPr="0045530E">
        <w:t xml:space="preserve">October </w:t>
      </w:r>
      <w:r w:rsidRPr="0045530E">
        <w:t>1</w:t>
      </w:r>
      <w:r w:rsidRPr="00170A35">
        <w:rPr>
          <w:vertAlign w:val="superscript"/>
        </w:rPr>
        <w:t>st</w:t>
      </w:r>
      <w:r w:rsidR="00262E70">
        <w:rPr>
          <w:vertAlign w:val="superscript"/>
        </w:rPr>
        <w:t xml:space="preserve"> </w:t>
      </w:r>
      <w:r w:rsidR="00262E70">
        <w:t>of each year</w:t>
      </w:r>
      <w:r w:rsidR="00754151">
        <w:t>,</w:t>
      </w:r>
      <w:r w:rsidRPr="0045530E">
        <w:t xml:space="preserve"> adjust the combustion process in accordance with the procedure for doing so set forth at § </w:t>
      </w:r>
      <w:r w:rsidR="00F43730" w:rsidRPr="0045530E">
        <w:t>805.9</w:t>
      </w:r>
      <w:r w:rsidRPr="0045530E">
        <w:t>; and</w:t>
      </w:r>
    </w:p>
    <w:p w14:paraId="5FD45DCF" w14:textId="77777777" w:rsidR="002D3975" w:rsidRPr="0045530E" w:rsidRDefault="002D3975" w:rsidP="002D3975">
      <w:pPr>
        <w:ind w:leftChars="600" w:left="2160" w:hangingChars="300" w:hanging="720"/>
        <w:jc w:val="both"/>
      </w:pPr>
    </w:p>
    <w:p w14:paraId="711FBDEA" w14:textId="05E964D9" w:rsidR="00B2332B" w:rsidRPr="0045530E" w:rsidRDefault="002D3975" w:rsidP="00B2332B">
      <w:pPr>
        <w:ind w:leftChars="600" w:left="2160" w:hangingChars="300" w:hanging="720"/>
        <w:jc w:val="both"/>
      </w:pPr>
      <w:r w:rsidRPr="0045530E">
        <w:t>(</w:t>
      </w:r>
      <w:r w:rsidR="002A5E0D" w:rsidRPr="0045530E">
        <w:t>c</w:t>
      </w:r>
      <w:r w:rsidR="00B2332B" w:rsidRPr="0045530E">
        <w:t>)</w:t>
      </w:r>
      <w:r w:rsidR="00B2332B" w:rsidRPr="0045530E">
        <w:tab/>
        <w:t>After May 31, 1995</w:t>
      </w:r>
      <w:r w:rsidR="00837BB1" w:rsidRPr="0045530E">
        <w:t xml:space="preserve">, </w:t>
      </w:r>
      <w:r w:rsidR="00837BB1">
        <w:t>and ending December 31, 2022</w:t>
      </w:r>
      <w:r w:rsidR="00B2332B" w:rsidRPr="0045530E">
        <w:t xml:space="preserve">, any </w:t>
      </w:r>
      <w:r w:rsidR="009208C2" w:rsidRPr="0045530E">
        <w:t>tangential</w:t>
      </w:r>
      <w:r w:rsidR="009832BA">
        <w:t>-</w:t>
      </w:r>
      <w:r w:rsidR="009208C2" w:rsidRPr="0045530E">
        <w:t xml:space="preserve"> or face-fired</w:t>
      </w:r>
      <w:r w:rsidR="00754151">
        <w:t>,</w:t>
      </w:r>
      <w:r w:rsidR="009208C2" w:rsidRPr="0045530E">
        <w:t xml:space="preserve"> </w:t>
      </w:r>
      <w:r w:rsidR="00B2332B" w:rsidRPr="0045530E">
        <w:t>fossil-fuel-fired steam-generating unit</w:t>
      </w:r>
      <w:r w:rsidR="009208C2" w:rsidRPr="0045530E">
        <w:t xml:space="preserve"> powered exclusively by oil</w:t>
      </w:r>
      <w:r w:rsidR="00B2332B" w:rsidRPr="0045530E">
        <w:t xml:space="preserve"> with a </w:t>
      </w:r>
      <w:r w:rsidR="00C97E64" w:rsidRPr="0045530E">
        <w:t xml:space="preserve">heat </w:t>
      </w:r>
      <w:r w:rsidR="00B2332B" w:rsidRPr="0045530E">
        <w:t>input capacity of fifty million (50,000,000) BTU per hour or greater and less than one hundred million (100,000,000) BTU per hour</w:t>
      </w:r>
      <w:r w:rsidR="00754151">
        <w:t>,</w:t>
      </w:r>
      <w:r w:rsidR="00B2332B" w:rsidRPr="0045530E">
        <w:t xml:space="preserve"> shall </w:t>
      </w:r>
      <w:r w:rsidR="00754151">
        <w:t xml:space="preserve">not </w:t>
      </w:r>
      <w:r w:rsidR="00B2332B" w:rsidRPr="0045530E">
        <w:t xml:space="preserve">emit NOx at a rate greater than </w:t>
      </w:r>
      <w:r w:rsidR="009208C2" w:rsidRPr="0045530E">
        <w:t>thirty</w:t>
      </w:r>
      <w:r w:rsidR="00262E70">
        <w:t>-</w:t>
      </w:r>
      <w:r w:rsidR="009208C2" w:rsidRPr="0045530E">
        <w:t>hundredths pound (0.30 lb) per million BTU, based on a calendar day average</w:t>
      </w:r>
      <w:r w:rsidR="00B2332B" w:rsidRPr="0045530E">
        <w:t>;</w:t>
      </w:r>
    </w:p>
    <w:p w14:paraId="69C5B38A" w14:textId="77777777" w:rsidR="00B2332B" w:rsidRPr="0045530E" w:rsidRDefault="00B2332B" w:rsidP="00B2332B">
      <w:pPr>
        <w:ind w:leftChars="600" w:left="2160" w:hangingChars="300" w:hanging="720"/>
        <w:jc w:val="both"/>
      </w:pPr>
    </w:p>
    <w:p w14:paraId="6085A6F2" w14:textId="452999F6" w:rsidR="00B2332B" w:rsidRPr="0045530E" w:rsidRDefault="00B2332B" w:rsidP="00B2332B">
      <w:pPr>
        <w:ind w:leftChars="600" w:left="2160" w:hangingChars="300" w:hanging="720"/>
        <w:jc w:val="both"/>
      </w:pPr>
      <w:r w:rsidRPr="0045530E">
        <w:t>(</w:t>
      </w:r>
      <w:r w:rsidR="002A5E0D" w:rsidRPr="0045530E">
        <w:t>d</w:t>
      </w:r>
      <w:r w:rsidRPr="0045530E">
        <w:t>)</w:t>
      </w:r>
      <w:r w:rsidRPr="0045530E">
        <w:tab/>
        <w:t xml:space="preserve">After May 31, 1995, </w:t>
      </w:r>
      <w:r w:rsidR="00837BB1">
        <w:t xml:space="preserve">and ending December 31, 2022, </w:t>
      </w:r>
      <w:r w:rsidR="00070223">
        <w:t xml:space="preserve">any </w:t>
      </w:r>
      <w:r w:rsidRPr="0045530E">
        <w:t xml:space="preserve">fossil-fuel-fired steam-generating unit with a </w:t>
      </w:r>
      <w:r w:rsidR="00C97E64" w:rsidRPr="0045530E">
        <w:t xml:space="preserve">heat </w:t>
      </w:r>
      <w:r w:rsidRPr="0045530E">
        <w:t>input capacity of one hundred million (100,000,000) BTU per hour or greater</w:t>
      </w:r>
      <w:r w:rsidR="009832BA">
        <w:t>,</w:t>
      </w:r>
      <w:r w:rsidRPr="0045530E">
        <w:t xml:space="preserve"> shall </w:t>
      </w:r>
      <w:r w:rsidR="009832BA">
        <w:t xml:space="preserve">not </w:t>
      </w:r>
      <w:r w:rsidRPr="0045530E">
        <w:t>emit NO</w:t>
      </w:r>
      <w:r w:rsidR="008A253D" w:rsidRPr="0045530E">
        <w:t>x</w:t>
      </w:r>
      <w:r w:rsidRPr="0045530E">
        <w:t xml:space="preserve"> at an emission rate greater than the following maximum allowable NO</w:t>
      </w:r>
      <w:r w:rsidR="008A253D" w:rsidRPr="0045530E">
        <w:t>x</w:t>
      </w:r>
      <w:r w:rsidRPr="0045530E">
        <w:t xml:space="preserve"> emission rate:</w:t>
      </w:r>
    </w:p>
    <w:p w14:paraId="02628EC0" w14:textId="77777777" w:rsidR="00B2332B" w:rsidRPr="0045530E" w:rsidRDefault="00B2332B" w:rsidP="00B2332B">
      <w:pPr>
        <w:ind w:left="960" w:hangingChars="400" w:hanging="960"/>
        <w:jc w:val="both"/>
      </w:pPr>
    </w:p>
    <w:p w14:paraId="1A0B0065" w14:textId="77777777" w:rsidR="00B2332B" w:rsidRPr="0045530E" w:rsidRDefault="00B2332B" w:rsidP="00B2332B">
      <w:pPr>
        <w:ind w:leftChars="900" w:left="2880" w:hangingChars="300" w:hanging="720"/>
        <w:jc w:val="both"/>
      </w:pPr>
      <w:r w:rsidRPr="0045530E">
        <w:t>(1)</w:t>
      </w:r>
      <w:r w:rsidRPr="0045530E">
        <w:tab/>
        <w:t>For dry bottom coal</w:t>
      </w:r>
      <w:r w:rsidR="009832BA">
        <w:t>-</w:t>
      </w:r>
      <w:r w:rsidRPr="0045530E">
        <w:t>fired fossil-fuel-fired steam-generating units:</w:t>
      </w:r>
    </w:p>
    <w:p w14:paraId="331ACF5A" w14:textId="77777777" w:rsidR="00B2332B" w:rsidRPr="0045530E" w:rsidRDefault="00B2332B" w:rsidP="00B2332B">
      <w:pPr>
        <w:ind w:left="960" w:hangingChars="400" w:hanging="960"/>
        <w:jc w:val="both"/>
      </w:pPr>
    </w:p>
    <w:p w14:paraId="26918411" w14:textId="77777777" w:rsidR="00B2332B" w:rsidRPr="0045530E" w:rsidRDefault="00B2332B" w:rsidP="00B2332B">
      <w:pPr>
        <w:ind w:leftChars="1200" w:left="3600" w:hangingChars="300" w:hanging="720"/>
        <w:jc w:val="both"/>
      </w:pPr>
      <w:r w:rsidRPr="0045530E">
        <w:t>(A)</w:t>
      </w:r>
      <w:r w:rsidRPr="0045530E">
        <w:tab/>
        <w:t>Forty-three hundredths pound (0.43 lb) per million BTU, based on a calendar day average, for tangential or face-fired units; and</w:t>
      </w:r>
    </w:p>
    <w:p w14:paraId="378447E2" w14:textId="77777777" w:rsidR="00B2332B" w:rsidRPr="0045530E" w:rsidRDefault="00B2332B" w:rsidP="00B2332B">
      <w:pPr>
        <w:ind w:leftChars="1200" w:left="3600" w:hangingChars="300" w:hanging="720"/>
        <w:jc w:val="both"/>
      </w:pPr>
    </w:p>
    <w:p w14:paraId="68C67C6B" w14:textId="77777777" w:rsidR="00B2332B" w:rsidRPr="0045530E" w:rsidRDefault="00B2332B" w:rsidP="00B2332B">
      <w:pPr>
        <w:ind w:leftChars="1200" w:left="3600" w:hangingChars="300" w:hanging="720"/>
        <w:jc w:val="both"/>
      </w:pPr>
      <w:r w:rsidRPr="0045530E">
        <w:t>(B)</w:t>
      </w:r>
      <w:r w:rsidRPr="0045530E">
        <w:tab/>
        <w:t>Forty-three hundredths pound (0.43 lb) per million BTU, based on a calendar day average, for stoker-fired units;</w:t>
      </w:r>
    </w:p>
    <w:p w14:paraId="21A0147A" w14:textId="77777777" w:rsidR="00B2332B" w:rsidRPr="0045530E" w:rsidRDefault="00B2332B" w:rsidP="00B2332B">
      <w:pPr>
        <w:ind w:left="960" w:hangingChars="400" w:hanging="960"/>
        <w:jc w:val="both"/>
      </w:pPr>
    </w:p>
    <w:p w14:paraId="153E4C9D" w14:textId="77777777" w:rsidR="00B2332B" w:rsidRPr="0045530E" w:rsidRDefault="00B2332B" w:rsidP="00B2332B">
      <w:pPr>
        <w:ind w:leftChars="900" w:left="2880" w:hangingChars="300" w:hanging="720"/>
        <w:jc w:val="both"/>
      </w:pPr>
      <w:r w:rsidRPr="0045530E">
        <w:t>(2)</w:t>
      </w:r>
      <w:r w:rsidRPr="0045530E">
        <w:tab/>
        <w:t>For</w:t>
      </w:r>
      <w:r w:rsidR="009470C4" w:rsidRPr="0045530E">
        <w:t xml:space="preserve"> </w:t>
      </w:r>
      <w:r w:rsidR="00F778BB" w:rsidRPr="0045530E">
        <w:t>non-coal</w:t>
      </w:r>
      <w:r w:rsidR="00FB2032" w:rsidRPr="0045530E">
        <w:t xml:space="preserve"> </w:t>
      </w:r>
      <w:r w:rsidR="004127EC" w:rsidRPr="0045530E">
        <w:t>fired</w:t>
      </w:r>
      <w:r w:rsidRPr="0045530E">
        <w:t xml:space="preserve"> fossil-fuel-fired steam-generating units:</w:t>
      </w:r>
    </w:p>
    <w:p w14:paraId="120DD0AB" w14:textId="77777777" w:rsidR="00B2332B" w:rsidRPr="0045530E" w:rsidRDefault="00B2332B" w:rsidP="00B2332B">
      <w:pPr>
        <w:ind w:leftChars="800" w:left="2880" w:hangingChars="400" w:hanging="960"/>
        <w:jc w:val="both"/>
      </w:pPr>
    </w:p>
    <w:p w14:paraId="370AFB5A" w14:textId="77777777" w:rsidR="00B2332B" w:rsidRPr="0045530E" w:rsidRDefault="00B2332B" w:rsidP="00B2332B">
      <w:pPr>
        <w:ind w:leftChars="1200" w:left="3600" w:hangingChars="300" w:hanging="720"/>
        <w:jc w:val="both"/>
      </w:pPr>
      <w:r w:rsidRPr="0045530E">
        <w:t>(A)</w:t>
      </w:r>
      <w:r w:rsidRPr="0045530E">
        <w:tab/>
        <w:t>Twenty-five hundredths pound (0.25 lb) per million BTU, based on a calendar day average, for units powered by fuel oil or a combination of fuel oil and natural gas; and</w:t>
      </w:r>
    </w:p>
    <w:p w14:paraId="3B596D42" w14:textId="77777777" w:rsidR="00B2332B" w:rsidRPr="0045530E" w:rsidRDefault="00B2332B" w:rsidP="00B2332B">
      <w:pPr>
        <w:ind w:leftChars="1200" w:left="3600" w:hangingChars="300" w:hanging="720"/>
        <w:jc w:val="both"/>
      </w:pPr>
    </w:p>
    <w:p w14:paraId="70C15457" w14:textId="77777777" w:rsidR="00B2332B" w:rsidRPr="0045530E" w:rsidRDefault="00B2332B" w:rsidP="00B2332B">
      <w:pPr>
        <w:ind w:leftChars="1200" w:left="3600" w:hangingChars="300" w:hanging="720"/>
        <w:jc w:val="both"/>
      </w:pPr>
      <w:r w:rsidRPr="0045530E">
        <w:t>(B)</w:t>
      </w:r>
      <w:r w:rsidRPr="0045530E">
        <w:tab/>
        <w:t>Twenty hundredths pound (0.20 lb) per million BTU, based on a calendar day average, for units powered exclusively by natural gas;</w:t>
      </w:r>
    </w:p>
    <w:p w14:paraId="43CD85DE" w14:textId="77777777" w:rsidR="00B2332B" w:rsidRPr="0045530E" w:rsidRDefault="00B2332B" w:rsidP="00F23909">
      <w:pPr>
        <w:ind w:leftChars="600" w:left="2160" w:hangingChars="300" w:hanging="720"/>
        <w:jc w:val="both"/>
      </w:pPr>
    </w:p>
    <w:p w14:paraId="3E955DA8" w14:textId="13770FD2" w:rsidR="00B2332B" w:rsidRPr="0045530E" w:rsidRDefault="002D3975" w:rsidP="00B2332B">
      <w:pPr>
        <w:ind w:leftChars="600" w:left="2160" w:hangingChars="300" w:hanging="720"/>
        <w:jc w:val="both"/>
      </w:pPr>
      <w:r w:rsidRPr="0045530E">
        <w:t>(</w:t>
      </w:r>
      <w:r w:rsidR="002A5E0D" w:rsidRPr="0045530E">
        <w:t>e</w:t>
      </w:r>
      <w:r w:rsidRPr="0045530E">
        <w:t>)</w:t>
      </w:r>
      <w:r w:rsidRPr="0045530E">
        <w:tab/>
      </w:r>
      <w:r w:rsidR="00837BB1">
        <w:t>Beginning</w:t>
      </w:r>
      <w:r w:rsidR="00837BB1" w:rsidRPr="0045530E">
        <w:t xml:space="preserve"> </w:t>
      </w:r>
      <w:r w:rsidR="003C4AD4" w:rsidRPr="0045530E">
        <w:t>January 1</w:t>
      </w:r>
      <w:r w:rsidRPr="0045530E">
        <w:t>, 20</w:t>
      </w:r>
      <w:r w:rsidR="006E6D2D" w:rsidRPr="0045530E">
        <w:t>2</w:t>
      </w:r>
      <w:r w:rsidR="009901F0" w:rsidRPr="0045530E">
        <w:t>3</w:t>
      </w:r>
      <w:r w:rsidR="009832BA">
        <w:t>,</w:t>
      </w:r>
      <w:r w:rsidRPr="0045530E">
        <w:t xml:space="preserve"> </w:t>
      </w:r>
      <w:r w:rsidR="003B77E5" w:rsidRPr="0045530E">
        <w:t>fuel burning equipment</w:t>
      </w:r>
      <w:r w:rsidRPr="0045530E">
        <w:t xml:space="preserve"> with a </w:t>
      </w:r>
      <w:r w:rsidR="00CA22FD" w:rsidRPr="0045530E">
        <w:t xml:space="preserve">heat </w:t>
      </w:r>
      <w:r w:rsidRPr="0045530E">
        <w:t xml:space="preserve">input capacity of </w:t>
      </w:r>
      <w:r w:rsidR="00BC27D1" w:rsidRPr="0045530E">
        <w:t>twenty-five</w:t>
      </w:r>
      <w:r w:rsidRPr="0045530E">
        <w:t xml:space="preserve"> million (</w:t>
      </w:r>
      <w:r w:rsidR="00BC27D1" w:rsidRPr="0045530E">
        <w:t>25</w:t>
      </w:r>
      <w:r w:rsidRPr="0045530E">
        <w:t xml:space="preserve">,000,000) BTU per hour or greater shall </w:t>
      </w:r>
      <w:r w:rsidR="009832BA">
        <w:t xml:space="preserve">not </w:t>
      </w:r>
      <w:r w:rsidRPr="0045530E">
        <w:t xml:space="preserve">emit </w:t>
      </w:r>
      <w:r w:rsidR="00CC4ACC" w:rsidRPr="0045530E">
        <w:t xml:space="preserve">NOx </w:t>
      </w:r>
      <w:r w:rsidRPr="0045530E">
        <w:t xml:space="preserve">at an emission rate greater than the following maximum allowable </w:t>
      </w:r>
      <w:r w:rsidR="00CC4ACC" w:rsidRPr="0045530E">
        <w:t xml:space="preserve">NOx </w:t>
      </w:r>
      <w:r w:rsidRPr="0045530E">
        <w:t>emission rate</w:t>
      </w:r>
      <w:r w:rsidR="00804E2D" w:rsidRPr="0045530E">
        <w:t xml:space="preserve">, unless an alternative compliance plan developed in accordance with </w:t>
      </w:r>
      <w:r w:rsidR="00556302">
        <w:t xml:space="preserve">§ </w:t>
      </w:r>
      <w:r w:rsidR="00E66859" w:rsidRPr="0045530E">
        <w:t>805.5(g)</w:t>
      </w:r>
      <w:r w:rsidR="000C009B" w:rsidRPr="0045530E">
        <w:t xml:space="preserve"> </w:t>
      </w:r>
      <w:r w:rsidR="00804E2D" w:rsidRPr="0045530E">
        <w:t xml:space="preserve">has been approved by the Department prior to </w:t>
      </w:r>
      <w:r w:rsidR="00F778BB" w:rsidRPr="0045530E">
        <w:t>January 1</w:t>
      </w:r>
      <w:r w:rsidR="00804E2D" w:rsidRPr="0045530E">
        <w:t xml:space="preserve">, </w:t>
      </w:r>
      <w:r w:rsidR="00F778BB" w:rsidRPr="0045530E">
        <w:t>2023</w:t>
      </w:r>
      <w:r w:rsidR="00B2332B" w:rsidRPr="0045530E">
        <w:t>:</w:t>
      </w:r>
    </w:p>
    <w:p w14:paraId="0336BEDE" w14:textId="77777777" w:rsidR="00B2332B" w:rsidRPr="0045530E" w:rsidRDefault="00B2332B" w:rsidP="00B2332B">
      <w:pPr>
        <w:ind w:left="960" w:hangingChars="400" w:hanging="960"/>
        <w:jc w:val="both"/>
      </w:pPr>
    </w:p>
    <w:p w14:paraId="6644ED0A" w14:textId="77777777" w:rsidR="00B2332B" w:rsidRPr="0045530E" w:rsidRDefault="00B2332B" w:rsidP="00B2332B">
      <w:pPr>
        <w:ind w:leftChars="900" w:left="2880" w:hangingChars="300" w:hanging="720"/>
        <w:jc w:val="both"/>
      </w:pPr>
      <w:r w:rsidRPr="0045530E">
        <w:t>(1)</w:t>
      </w:r>
      <w:r w:rsidRPr="0045530E">
        <w:tab/>
        <w:t xml:space="preserve">For </w:t>
      </w:r>
      <w:r w:rsidR="002D3975" w:rsidRPr="0045530E">
        <w:t>dry bottom coal</w:t>
      </w:r>
      <w:r w:rsidR="00F47763">
        <w:t>-</w:t>
      </w:r>
      <w:r w:rsidR="002D3975" w:rsidRPr="0045530E">
        <w:t>fired fuel</w:t>
      </w:r>
      <w:r w:rsidR="000F7D19" w:rsidRPr="0045530E">
        <w:t xml:space="preserve"> burning equipment</w:t>
      </w:r>
      <w:r w:rsidR="002D3975" w:rsidRPr="0045530E">
        <w:t>:</w:t>
      </w:r>
    </w:p>
    <w:p w14:paraId="7D4680C8" w14:textId="77777777" w:rsidR="00B2332B" w:rsidRPr="0045530E" w:rsidRDefault="00B2332B" w:rsidP="00B2332B">
      <w:pPr>
        <w:ind w:left="960" w:hangingChars="400" w:hanging="960"/>
        <w:jc w:val="both"/>
      </w:pPr>
    </w:p>
    <w:p w14:paraId="14C77BEF" w14:textId="77777777" w:rsidR="002D3975" w:rsidRPr="0045530E" w:rsidRDefault="00B2332B" w:rsidP="002D3975">
      <w:pPr>
        <w:ind w:leftChars="1200" w:left="3600" w:hangingChars="300" w:hanging="720"/>
        <w:jc w:val="both"/>
      </w:pPr>
      <w:r w:rsidRPr="0045530E">
        <w:lastRenderedPageBreak/>
        <w:t>(A)</w:t>
      </w:r>
      <w:r w:rsidRPr="0045530E">
        <w:tab/>
      </w:r>
      <w:r w:rsidR="003C4AD4" w:rsidRPr="0045530E">
        <w:t>Twelve</w:t>
      </w:r>
      <w:r w:rsidR="002D3975" w:rsidRPr="0045530E">
        <w:t xml:space="preserve"> hundredths pound (0.</w:t>
      </w:r>
      <w:r w:rsidR="003C4AD4" w:rsidRPr="0045530E">
        <w:t xml:space="preserve">12 </w:t>
      </w:r>
      <w:r w:rsidR="002D3975" w:rsidRPr="0045530E">
        <w:t>lb) per million BTU, based on a calendar day average, for tangential</w:t>
      </w:r>
      <w:r w:rsidR="00F47763">
        <w:t>-</w:t>
      </w:r>
      <w:r w:rsidR="002D3975" w:rsidRPr="0045530E">
        <w:t xml:space="preserve"> or face-fired </w:t>
      </w:r>
      <w:r w:rsidR="000F7D19" w:rsidRPr="0045530E">
        <w:t>equipment</w:t>
      </w:r>
      <w:r w:rsidR="002D3975" w:rsidRPr="0045530E">
        <w:t>; and</w:t>
      </w:r>
    </w:p>
    <w:p w14:paraId="43EA3C4B" w14:textId="77777777" w:rsidR="00B2332B" w:rsidRPr="0045530E" w:rsidRDefault="00B2332B" w:rsidP="00F23909">
      <w:pPr>
        <w:ind w:leftChars="1200" w:left="3600" w:hangingChars="300" w:hanging="720"/>
        <w:jc w:val="both"/>
      </w:pPr>
    </w:p>
    <w:p w14:paraId="0C17D321" w14:textId="77777777" w:rsidR="002D3975" w:rsidRPr="0045530E" w:rsidRDefault="00B2332B" w:rsidP="002D3975">
      <w:pPr>
        <w:ind w:leftChars="1200" w:left="3600" w:hangingChars="300" w:hanging="720"/>
        <w:jc w:val="both"/>
      </w:pPr>
      <w:r w:rsidRPr="0045530E">
        <w:t>(B)</w:t>
      </w:r>
      <w:r w:rsidRPr="0045530E">
        <w:tab/>
      </w:r>
      <w:r w:rsidR="00281119" w:rsidRPr="0045530E">
        <w:t>Twelve</w:t>
      </w:r>
      <w:r w:rsidR="002D3975" w:rsidRPr="0045530E">
        <w:t xml:space="preserve"> hundredths pound (0.</w:t>
      </w:r>
      <w:r w:rsidR="00281119" w:rsidRPr="0045530E">
        <w:t xml:space="preserve">12 </w:t>
      </w:r>
      <w:r w:rsidR="002D3975" w:rsidRPr="0045530E">
        <w:t xml:space="preserve">lb) per million BTU, based on a calendar day average, for stoker-fired </w:t>
      </w:r>
      <w:r w:rsidR="000F7D19" w:rsidRPr="0045530E">
        <w:t>equipment</w:t>
      </w:r>
      <w:r w:rsidR="002D3975" w:rsidRPr="0045530E">
        <w:t>;</w:t>
      </w:r>
    </w:p>
    <w:p w14:paraId="090B5037" w14:textId="77777777" w:rsidR="002D3975" w:rsidRPr="0045530E" w:rsidRDefault="002D3975" w:rsidP="002D3975">
      <w:pPr>
        <w:ind w:left="960" w:hangingChars="400" w:hanging="960"/>
        <w:jc w:val="both"/>
      </w:pPr>
    </w:p>
    <w:p w14:paraId="1210FC70" w14:textId="77777777" w:rsidR="002D3975" w:rsidRPr="0045530E" w:rsidRDefault="002D3975" w:rsidP="002D3975">
      <w:pPr>
        <w:ind w:leftChars="900" w:left="2880" w:hangingChars="300" w:hanging="720"/>
        <w:jc w:val="both"/>
      </w:pPr>
      <w:r w:rsidRPr="0045530E">
        <w:t>(2)</w:t>
      </w:r>
      <w:r w:rsidRPr="0045530E">
        <w:tab/>
        <w:t xml:space="preserve">For </w:t>
      </w:r>
      <w:r w:rsidR="00FB2032" w:rsidRPr="0045530E">
        <w:t>non</w:t>
      </w:r>
      <w:r w:rsidR="00F778BB" w:rsidRPr="0045530E">
        <w:t>-</w:t>
      </w:r>
      <w:r w:rsidR="00FB2032" w:rsidRPr="0045530E">
        <w:t>coal</w:t>
      </w:r>
      <w:r w:rsidR="00F47763">
        <w:t>-</w:t>
      </w:r>
      <w:r w:rsidR="00FB2032" w:rsidRPr="0045530E">
        <w:t xml:space="preserve">fired </w:t>
      </w:r>
      <w:r w:rsidRPr="0045530E">
        <w:t>fuel</w:t>
      </w:r>
      <w:r w:rsidR="000F7D19" w:rsidRPr="0045530E">
        <w:t xml:space="preserve"> burning equipment</w:t>
      </w:r>
      <w:r w:rsidR="00BC27D1" w:rsidRPr="0045530E">
        <w:t xml:space="preserve"> with a </w:t>
      </w:r>
      <w:r w:rsidR="00C97E64" w:rsidRPr="0045530E">
        <w:t xml:space="preserve">heat </w:t>
      </w:r>
      <w:r w:rsidR="00BC27D1" w:rsidRPr="0045530E">
        <w:t>input capacity of one hundred million (100,000,000) BTU per hour or greater</w:t>
      </w:r>
      <w:r w:rsidRPr="0045530E">
        <w:t>:</w:t>
      </w:r>
    </w:p>
    <w:p w14:paraId="30B11FD8" w14:textId="77777777" w:rsidR="002D3975" w:rsidRPr="0045530E" w:rsidRDefault="002D3975" w:rsidP="002D3975">
      <w:pPr>
        <w:ind w:leftChars="800" w:left="2880" w:hangingChars="400" w:hanging="960"/>
        <w:jc w:val="both"/>
      </w:pPr>
    </w:p>
    <w:p w14:paraId="161F5C11" w14:textId="77777777" w:rsidR="002D3975" w:rsidRPr="0045530E" w:rsidRDefault="002D3975" w:rsidP="00072652">
      <w:pPr>
        <w:ind w:leftChars="1200" w:left="3600" w:hangingChars="300" w:hanging="720"/>
        <w:jc w:val="both"/>
      </w:pPr>
      <w:r w:rsidRPr="0045530E">
        <w:t>(A)</w:t>
      </w:r>
      <w:r w:rsidRPr="0045530E">
        <w:tab/>
        <w:t xml:space="preserve">Twelve hundredths pound (0.12 lb) per million BTU, based on a calendar day average, </w:t>
      </w:r>
      <w:r w:rsidR="005D4FEA" w:rsidRPr="0045530E">
        <w:t xml:space="preserve">on days when the </w:t>
      </w:r>
      <w:r w:rsidR="002C4F1A" w:rsidRPr="0045530E">
        <w:t>equipment</w:t>
      </w:r>
      <w:r w:rsidR="005D4FEA" w:rsidRPr="0045530E">
        <w:t xml:space="preserve"> is</w:t>
      </w:r>
      <w:r w:rsidRPr="0045530E">
        <w:t xml:space="preserve"> powered by fuel oil or a combination of fuel oil and natural gas; and</w:t>
      </w:r>
    </w:p>
    <w:p w14:paraId="4C1BAD4D" w14:textId="77777777" w:rsidR="002D3975" w:rsidRPr="0045530E" w:rsidRDefault="002D3975" w:rsidP="00072652">
      <w:pPr>
        <w:ind w:leftChars="1200" w:left="3600" w:hangingChars="300" w:hanging="720"/>
        <w:jc w:val="both"/>
      </w:pPr>
    </w:p>
    <w:p w14:paraId="5CD4347E" w14:textId="77777777" w:rsidR="002D3975" w:rsidRPr="0045530E" w:rsidRDefault="002D3975" w:rsidP="002D3975">
      <w:pPr>
        <w:ind w:leftChars="1200" w:left="3600" w:hangingChars="300" w:hanging="720"/>
        <w:jc w:val="both"/>
      </w:pPr>
      <w:r w:rsidRPr="0045530E">
        <w:t>(B)</w:t>
      </w:r>
      <w:r w:rsidRPr="0045530E">
        <w:tab/>
      </w:r>
      <w:r w:rsidR="00BA4227" w:rsidRPr="0045530E">
        <w:t xml:space="preserve">Five </w:t>
      </w:r>
      <w:r w:rsidRPr="0045530E">
        <w:t>hundredths pound (0.0</w:t>
      </w:r>
      <w:r w:rsidR="00BA4227" w:rsidRPr="0045530E">
        <w:t>5</w:t>
      </w:r>
      <w:r w:rsidRPr="0045530E">
        <w:t xml:space="preserve"> lb) per million BTU, based on a calendar day average, </w:t>
      </w:r>
      <w:r w:rsidR="005D4FEA" w:rsidRPr="0045530E">
        <w:t xml:space="preserve">on days when the </w:t>
      </w:r>
      <w:r w:rsidR="002C4F1A" w:rsidRPr="0045530E">
        <w:t xml:space="preserve">equipment </w:t>
      </w:r>
      <w:r w:rsidR="005D4FEA" w:rsidRPr="0045530E">
        <w:t>is</w:t>
      </w:r>
      <w:r w:rsidRPr="0045530E">
        <w:t xml:space="preserve"> powered exclusively by natural gas;</w:t>
      </w:r>
    </w:p>
    <w:p w14:paraId="53EEB797" w14:textId="77777777" w:rsidR="000E0A90" w:rsidRPr="0045530E" w:rsidRDefault="000E0A90" w:rsidP="000E0A90">
      <w:pPr>
        <w:ind w:left="960" w:hangingChars="400" w:hanging="960"/>
        <w:jc w:val="both"/>
      </w:pPr>
    </w:p>
    <w:p w14:paraId="0805F254" w14:textId="77777777" w:rsidR="000E0A90" w:rsidRPr="0045530E" w:rsidRDefault="000E0A90" w:rsidP="000E0A90">
      <w:pPr>
        <w:ind w:leftChars="900" w:left="2880" w:hangingChars="300" w:hanging="720"/>
        <w:jc w:val="both"/>
      </w:pPr>
      <w:r w:rsidRPr="0045530E">
        <w:t>(3)</w:t>
      </w:r>
      <w:r w:rsidRPr="0045530E">
        <w:tab/>
        <w:t xml:space="preserve">For </w:t>
      </w:r>
      <w:r w:rsidR="00FB2032" w:rsidRPr="0045530E">
        <w:t>non</w:t>
      </w:r>
      <w:r w:rsidR="00F778BB" w:rsidRPr="0045530E">
        <w:t>-</w:t>
      </w:r>
      <w:r w:rsidR="00FB2032" w:rsidRPr="0045530E">
        <w:t>coal</w:t>
      </w:r>
      <w:r w:rsidR="00F47763">
        <w:t>-</w:t>
      </w:r>
      <w:r w:rsidR="00FB2032" w:rsidRPr="0045530E">
        <w:t xml:space="preserve">fired </w:t>
      </w:r>
      <w:r w:rsidRPr="0045530E">
        <w:t>fuel</w:t>
      </w:r>
      <w:r w:rsidR="000F7D19" w:rsidRPr="0045530E">
        <w:t xml:space="preserve"> burning equipment</w:t>
      </w:r>
      <w:r w:rsidRPr="0045530E">
        <w:t xml:space="preserve"> with a </w:t>
      </w:r>
      <w:r w:rsidR="00C97E64" w:rsidRPr="0045530E">
        <w:t xml:space="preserve">heat </w:t>
      </w:r>
      <w:r w:rsidRPr="0045530E">
        <w:t xml:space="preserve">input capacity of </w:t>
      </w:r>
      <w:r w:rsidR="00F61B7C" w:rsidRPr="0045530E">
        <w:t>twenty-</w:t>
      </w:r>
      <w:r w:rsidRPr="0045530E">
        <w:t>five million (25,000,000) BTU per hour or greater and less than one hundred million (100,000,000) BTU per hour:</w:t>
      </w:r>
    </w:p>
    <w:p w14:paraId="672E2527" w14:textId="77777777" w:rsidR="000E0A90" w:rsidRPr="0045530E" w:rsidRDefault="000E0A90" w:rsidP="000E0A90">
      <w:pPr>
        <w:ind w:leftChars="800" w:left="2880" w:hangingChars="400" w:hanging="960"/>
        <w:jc w:val="both"/>
      </w:pPr>
    </w:p>
    <w:p w14:paraId="7054428D" w14:textId="77777777" w:rsidR="00F47763" w:rsidRDefault="00FE02BF" w:rsidP="00170A35">
      <w:pPr>
        <w:pStyle w:val="ListParagraph"/>
        <w:numPr>
          <w:ilvl w:val="0"/>
          <w:numId w:val="17"/>
        </w:numPr>
        <w:ind w:left="3600" w:hanging="720"/>
        <w:jc w:val="both"/>
      </w:pPr>
      <w:r w:rsidRPr="0045530E">
        <w:t>Nine</w:t>
      </w:r>
      <w:r w:rsidR="000E0A90" w:rsidRPr="0045530E">
        <w:t xml:space="preserve"> hundredths pound (0.</w:t>
      </w:r>
      <w:r w:rsidR="008758F2" w:rsidRPr="0045530E">
        <w:t>0</w:t>
      </w:r>
      <w:r w:rsidRPr="0045530E">
        <w:t>9</w:t>
      </w:r>
      <w:r w:rsidR="000E0A90" w:rsidRPr="0045530E">
        <w:t xml:space="preserve"> lb) per million BTU, based on a calendar day average, </w:t>
      </w:r>
      <w:r w:rsidR="005D4FEA" w:rsidRPr="0045530E">
        <w:t>on days when</w:t>
      </w:r>
      <w:r w:rsidR="00F47763">
        <w:t>:</w:t>
      </w:r>
      <w:r w:rsidR="005D4FEA" w:rsidRPr="0045530E">
        <w:t xml:space="preserve"> </w:t>
      </w:r>
    </w:p>
    <w:p w14:paraId="6B89FEF3" w14:textId="77777777" w:rsidR="00F47763" w:rsidRDefault="00F47763" w:rsidP="00170A35">
      <w:pPr>
        <w:pStyle w:val="ListParagraph"/>
        <w:ind w:left="3240"/>
        <w:jc w:val="both"/>
      </w:pPr>
    </w:p>
    <w:p w14:paraId="2806A77D" w14:textId="77777777" w:rsidR="00F47763" w:rsidRDefault="005D4FEA" w:rsidP="00170A35">
      <w:pPr>
        <w:pStyle w:val="ListParagraph"/>
        <w:numPr>
          <w:ilvl w:val="0"/>
          <w:numId w:val="18"/>
        </w:numPr>
        <w:ind w:left="4320"/>
        <w:jc w:val="both"/>
      </w:pPr>
      <w:r w:rsidRPr="0045530E">
        <w:t xml:space="preserve">the </w:t>
      </w:r>
      <w:r w:rsidR="002C4F1A" w:rsidRPr="0045530E">
        <w:t>equipment</w:t>
      </w:r>
      <w:r w:rsidRPr="0045530E">
        <w:t xml:space="preserve"> is</w:t>
      </w:r>
      <w:r w:rsidR="000E0A90" w:rsidRPr="0045530E">
        <w:t xml:space="preserve"> powered by fuel oil or a combination of fuel oil and natural gas</w:t>
      </w:r>
      <w:r w:rsidR="00F47763">
        <w:t>; and</w:t>
      </w:r>
      <w:r w:rsidR="00FE02BF" w:rsidRPr="0045530E">
        <w:t>,</w:t>
      </w:r>
      <w:r w:rsidR="00AF5214" w:rsidRPr="0045530E">
        <w:t xml:space="preserve"> </w:t>
      </w:r>
    </w:p>
    <w:p w14:paraId="22543FF4" w14:textId="77777777" w:rsidR="00F47763" w:rsidRDefault="00F47763" w:rsidP="00170A35">
      <w:pPr>
        <w:pStyle w:val="ListParagraph"/>
        <w:ind w:left="4320"/>
        <w:jc w:val="both"/>
      </w:pPr>
    </w:p>
    <w:p w14:paraId="15262971" w14:textId="77777777" w:rsidR="00FE02BF" w:rsidRPr="0045530E" w:rsidRDefault="00AF5214" w:rsidP="003D72EF">
      <w:pPr>
        <w:pStyle w:val="ListParagraph"/>
        <w:numPr>
          <w:ilvl w:val="0"/>
          <w:numId w:val="18"/>
        </w:numPr>
        <w:spacing w:after="0"/>
        <w:ind w:left="4320"/>
        <w:jc w:val="both"/>
      </w:pPr>
      <w:r w:rsidRPr="0045530E">
        <w:t>the unit is not limited through a permit pursuant to § 200 to only burn fuel oil or a combination of fuel oil and natural gas during periods of gas curtailment, gas supply interruption, startups, or for periodic testing, maintenance, or operator training on liquid fuel</w:t>
      </w:r>
      <w:r w:rsidR="00B2332B" w:rsidRPr="0045530E">
        <w:t xml:space="preserve">; </w:t>
      </w:r>
    </w:p>
    <w:p w14:paraId="7410978F" w14:textId="77777777" w:rsidR="00FE02BF" w:rsidRPr="0045530E" w:rsidRDefault="00FE02BF" w:rsidP="00FE02BF">
      <w:pPr>
        <w:ind w:leftChars="1200" w:left="3600" w:hangingChars="300" w:hanging="720"/>
        <w:jc w:val="both"/>
      </w:pPr>
    </w:p>
    <w:p w14:paraId="3B933C0A" w14:textId="5CAB82CD" w:rsidR="00F47763" w:rsidRDefault="00A83B35" w:rsidP="00170A35">
      <w:pPr>
        <w:pStyle w:val="ListParagraph"/>
        <w:numPr>
          <w:ilvl w:val="0"/>
          <w:numId w:val="17"/>
        </w:numPr>
        <w:ind w:left="3600" w:hanging="720"/>
        <w:jc w:val="both"/>
      </w:pPr>
      <w:bookmarkStart w:id="0" w:name="_GoBack"/>
      <w:bookmarkEnd w:id="0"/>
      <w:r>
        <w:t>Twelve</w:t>
      </w:r>
      <w:r w:rsidRPr="0045530E">
        <w:t xml:space="preserve"> </w:t>
      </w:r>
      <w:r w:rsidR="00FE02BF" w:rsidRPr="0045530E">
        <w:t>hundredths pound (0.1</w:t>
      </w:r>
      <w:r>
        <w:t>2</w:t>
      </w:r>
      <w:r w:rsidR="00FE02BF" w:rsidRPr="0045530E">
        <w:t xml:space="preserve"> lb) per million BTU, based on a calendar day average, on days when</w:t>
      </w:r>
      <w:r w:rsidR="00F47763">
        <w:t>;</w:t>
      </w:r>
      <w:r w:rsidR="00FE02BF" w:rsidRPr="0045530E">
        <w:t xml:space="preserve"> </w:t>
      </w:r>
    </w:p>
    <w:p w14:paraId="1A732579" w14:textId="77777777" w:rsidR="00F47763" w:rsidRDefault="00F47763" w:rsidP="003D72EF">
      <w:pPr>
        <w:pStyle w:val="ListParagraph"/>
        <w:spacing w:after="0"/>
        <w:ind w:left="3240"/>
        <w:jc w:val="both"/>
      </w:pPr>
    </w:p>
    <w:p w14:paraId="4E7164A1" w14:textId="77777777" w:rsidR="00F47763" w:rsidRDefault="00F47763" w:rsidP="00170A35">
      <w:pPr>
        <w:ind w:leftChars="1500" w:left="4320" w:hangingChars="300" w:hanging="720"/>
        <w:jc w:val="both"/>
      </w:pPr>
      <w:r>
        <w:t>(</w:t>
      </w:r>
      <w:proofErr w:type="spellStart"/>
      <w:r>
        <w:t>i</w:t>
      </w:r>
      <w:proofErr w:type="spellEnd"/>
      <w:r>
        <w:t>)</w:t>
      </w:r>
      <w:r>
        <w:tab/>
      </w:r>
      <w:r w:rsidR="00FE02BF" w:rsidRPr="0045530E">
        <w:t>the equipment is powered by fuel oil or a combination of fuel oil and natural gas</w:t>
      </w:r>
      <w:r>
        <w:t>; and,</w:t>
      </w:r>
      <w:r w:rsidR="00FE02BF" w:rsidRPr="0045530E">
        <w:t xml:space="preserve"> </w:t>
      </w:r>
    </w:p>
    <w:p w14:paraId="6F2E4DE0" w14:textId="77777777" w:rsidR="00F47763" w:rsidRDefault="00F47763" w:rsidP="00170A35">
      <w:pPr>
        <w:ind w:leftChars="1500" w:left="4320" w:hangingChars="300" w:hanging="720"/>
        <w:jc w:val="both"/>
      </w:pPr>
    </w:p>
    <w:p w14:paraId="5E6E7EF6" w14:textId="41C0EF29" w:rsidR="00FE02BF" w:rsidRPr="0045530E" w:rsidRDefault="00F47763" w:rsidP="00170A35">
      <w:pPr>
        <w:ind w:leftChars="1500" w:left="4320" w:hangingChars="300" w:hanging="720"/>
        <w:jc w:val="both"/>
      </w:pPr>
      <w:r>
        <w:lastRenderedPageBreak/>
        <w:t>(ii)</w:t>
      </w:r>
      <w:r>
        <w:tab/>
      </w:r>
      <w:r w:rsidR="00FE02BF" w:rsidRPr="0045530E">
        <w:t xml:space="preserve">the </w:t>
      </w:r>
      <w:r w:rsidR="00AF5214" w:rsidRPr="0045530E">
        <w:t>unit</w:t>
      </w:r>
      <w:r w:rsidR="00FE02BF" w:rsidRPr="0045530E">
        <w:t xml:space="preserve"> </w:t>
      </w:r>
      <w:r w:rsidR="00AF5214" w:rsidRPr="0045530E">
        <w:t xml:space="preserve">is </w:t>
      </w:r>
      <w:r w:rsidR="00FE02BF" w:rsidRPr="0045530E">
        <w:t xml:space="preserve">limited through a permit pursuant to § 200 </w:t>
      </w:r>
      <w:r w:rsidR="00AF5214" w:rsidRPr="0045530E">
        <w:t xml:space="preserve">to </w:t>
      </w:r>
      <w:r w:rsidR="003F49F1">
        <w:t xml:space="preserve">burn </w:t>
      </w:r>
      <w:r w:rsidR="00AF5214" w:rsidRPr="0045530E">
        <w:t xml:space="preserve">only fuel oil or a combination of fuel oil and natural gas </w:t>
      </w:r>
      <w:r w:rsidR="00FE02BF" w:rsidRPr="0045530E">
        <w:t>during periods of gas curtailment, gas supply interruption, startups, or for periodic testing, maintenance, or operator training on liquid fuel;</w:t>
      </w:r>
      <w:r w:rsidR="00AF5214" w:rsidRPr="0045530E">
        <w:t xml:space="preserve"> and</w:t>
      </w:r>
    </w:p>
    <w:p w14:paraId="5009957B" w14:textId="77777777" w:rsidR="00B2332B" w:rsidRPr="0045530E" w:rsidRDefault="00B2332B" w:rsidP="00F23909">
      <w:pPr>
        <w:ind w:leftChars="1200" w:left="3600" w:hangingChars="300" w:hanging="720"/>
        <w:jc w:val="both"/>
      </w:pPr>
    </w:p>
    <w:p w14:paraId="1AB88207" w14:textId="77777777" w:rsidR="000E0A90" w:rsidRPr="0045530E" w:rsidRDefault="00B2332B" w:rsidP="000E0A90">
      <w:pPr>
        <w:ind w:leftChars="1200" w:left="3600" w:hangingChars="300" w:hanging="720"/>
        <w:jc w:val="both"/>
      </w:pPr>
      <w:r w:rsidRPr="0045530E">
        <w:t>(</w:t>
      </w:r>
      <w:r w:rsidR="00F47763">
        <w:t>C</w:t>
      </w:r>
      <w:r w:rsidR="000E0A90" w:rsidRPr="0045530E">
        <w:t>)</w:t>
      </w:r>
      <w:r w:rsidR="000E0A90" w:rsidRPr="0045530E">
        <w:tab/>
        <w:t xml:space="preserve">Five hundredths pound (0.05 lb) per million BTU, based on a calendar day average, </w:t>
      </w:r>
      <w:r w:rsidR="005D4FEA" w:rsidRPr="0045530E">
        <w:t xml:space="preserve">on days when the </w:t>
      </w:r>
      <w:r w:rsidR="002C4F1A" w:rsidRPr="0045530E">
        <w:t xml:space="preserve">equipment </w:t>
      </w:r>
      <w:r w:rsidR="005D4FEA" w:rsidRPr="0045530E">
        <w:t>is</w:t>
      </w:r>
      <w:r w:rsidR="008758F2" w:rsidRPr="0045530E">
        <w:t xml:space="preserve"> </w:t>
      </w:r>
      <w:r w:rsidR="000E0A90" w:rsidRPr="0045530E">
        <w:t>powered exclusively by natural gas;</w:t>
      </w:r>
    </w:p>
    <w:p w14:paraId="33610110" w14:textId="77777777" w:rsidR="00B2332B" w:rsidRPr="0045530E" w:rsidRDefault="00B2332B" w:rsidP="00F23909">
      <w:pPr>
        <w:ind w:leftChars="600" w:left="2160" w:hangingChars="300" w:hanging="720"/>
        <w:jc w:val="both"/>
      </w:pPr>
    </w:p>
    <w:p w14:paraId="2B729755" w14:textId="77777777" w:rsidR="002D3975" w:rsidRPr="0045530E" w:rsidRDefault="00B2332B" w:rsidP="002D3975">
      <w:pPr>
        <w:ind w:leftChars="600" w:left="2160" w:hangingChars="300" w:hanging="720"/>
        <w:jc w:val="both"/>
      </w:pPr>
      <w:r w:rsidRPr="0045530E">
        <w:t>(f)</w:t>
      </w:r>
      <w:r w:rsidRPr="0045530E">
        <w:tab/>
      </w:r>
      <w:r w:rsidR="006E6D2D" w:rsidRPr="0045530E">
        <w:t>After January 1, 2022</w:t>
      </w:r>
      <w:r w:rsidRPr="0045530E">
        <w:t xml:space="preserve">, any person required to comply with § 805.5 shall maintain continuous compliance </w:t>
      </w:r>
      <w:r w:rsidR="002D3975" w:rsidRPr="0045530E">
        <w:t xml:space="preserve">according to the following: </w:t>
      </w:r>
    </w:p>
    <w:p w14:paraId="66246D85" w14:textId="77777777" w:rsidR="002D3975" w:rsidRPr="0045530E" w:rsidRDefault="002D3975" w:rsidP="002D3975">
      <w:pPr>
        <w:ind w:left="960" w:hangingChars="400" w:hanging="960"/>
        <w:jc w:val="both"/>
      </w:pPr>
    </w:p>
    <w:p w14:paraId="1E8A78C3" w14:textId="77777777" w:rsidR="002D3975" w:rsidRPr="0045530E" w:rsidRDefault="002D3975">
      <w:pPr>
        <w:ind w:leftChars="900" w:left="2880" w:hangingChars="300" w:hanging="720"/>
        <w:jc w:val="both"/>
      </w:pPr>
      <w:r w:rsidRPr="0045530E">
        <w:t>(1)</w:t>
      </w:r>
      <w:r w:rsidRPr="0045530E">
        <w:tab/>
      </w:r>
      <w:r w:rsidR="00B2332B" w:rsidRPr="0045530E">
        <w:t>For fuel</w:t>
      </w:r>
      <w:r w:rsidR="003B77E5" w:rsidRPr="0045530E">
        <w:t xml:space="preserve"> burning equipment</w:t>
      </w:r>
      <w:r w:rsidR="00B2332B" w:rsidRPr="0045530E">
        <w:t xml:space="preserve"> subject to § 805.5(a</w:t>
      </w:r>
      <w:r w:rsidRPr="0045530E">
        <w:t>)</w:t>
      </w:r>
      <w:r w:rsidR="008C58DF" w:rsidRPr="0045530E">
        <w:t xml:space="preserve"> or § 805.5(b</w:t>
      </w:r>
      <w:r w:rsidR="00B2332B" w:rsidRPr="0045530E">
        <w:t>), compliance will be determined by record</w:t>
      </w:r>
      <w:r w:rsidR="007840FE" w:rsidRPr="0045530E">
        <w:t xml:space="preserve"> </w:t>
      </w:r>
      <w:r w:rsidR="00B2332B" w:rsidRPr="0045530E">
        <w:t>keeping as detailed in § 805.</w:t>
      </w:r>
      <w:r w:rsidR="00F43730" w:rsidRPr="0045530E">
        <w:t>9</w:t>
      </w:r>
      <w:r w:rsidR="00BD7743" w:rsidRPr="0045530E">
        <w:t>;</w:t>
      </w:r>
    </w:p>
    <w:p w14:paraId="41478477" w14:textId="77777777" w:rsidR="002D3975" w:rsidRPr="0045530E" w:rsidRDefault="002D3975" w:rsidP="00AA1174">
      <w:pPr>
        <w:ind w:leftChars="900" w:left="2880" w:hangingChars="300" w:hanging="720"/>
        <w:jc w:val="both"/>
      </w:pPr>
    </w:p>
    <w:p w14:paraId="6FB1A8D6" w14:textId="21A3DFF9" w:rsidR="00304DFE" w:rsidRDefault="002D3975" w:rsidP="00AA1174">
      <w:pPr>
        <w:ind w:leftChars="900" w:left="2880" w:hangingChars="300" w:hanging="720"/>
        <w:jc w:val="both"/>
      </w:pPr>
      <w:r w:rsidRPr="0045530E">
        <w:t>(2)</w:t>
      </w:r>
      <w:r w:rsidRPr="0045530E">
        <w:tab/>
      </w:r>
      <w:r w:rsidR="00B2332B" w:rsidRPr="0045530E">
        <w:t>For fuel</w:t>
      </w:r>
      <w:r w:rsidR="000F7D19" w:rsidRPr="0045530E">
        <w:t xml:space="preserve"> burning equipment</w:t>
      </w:r>
      <w:r w:rsidR="00935F6C" w:rsidRPr="0045530E">
        <w:t xml:space="preserve"> subject to § 805.5(</w:t>
      </w:r>
      <w:r w:rsidR="00367499" w:rsidRPr="0045530E">
        <w:t>d</w:t>
      </w:r>
      <w:r w:rsidR="00935F6C" w:rsidRPr="0045530E">
        <w:t>) or</w:t>
      </w:r>
      <w:r w:rsidR="00B2332B" w:rsidRPr="0045530E">
        <w:t xml:space="preserve"> § 805.5(</w:t>
      </w:r>
      <w:r w:rsidR="00367499" w:rsidRPr="0045530E">
        <w:t>e</w:t>
      </w:r>
      <w:r w:rsidR="00935F6C" w:rsidRPr="0045530E">
        <w:t xml:space="preserve">) and </w:t>
      </w:r>
      <w:r w:rsidR="00367499" w:rsidRPr="0045530E">
        <w:t xml:space="preserve">with a </w:t>
      </w:r>
      <w:r w:rsidR="00C97E64" w:rsidRPr="0045530E">
        <w:t xml:space="preserve">heat </w:t>
      </w:r>
      <w:r w:rsidR="00367499" w:rsidRPr="0045530E">
        <w:t xml:space="preserve">input capacity </w:t>
      </w:r>
      <w:r w:rsidR="00935F6C" w:rsidRPr="0045530E">
        <w:t>of equal to or greater than one hundred million (100,000,000) BTU per hour</w:t>
      </w:r>
      <w:r w:rsidR="00367499" w:rsidRPr="0045530E">
        <w:t>,</w:t>
      </w:r>
      <w:r w:rsidR="00935F6C" w:rsidRPr="0045530E">
        <w:t xml:space="preserve"> </w:t>
      </w:r>
      <w:r w:rsidR="00B2332B" w:rsidRPr="0045530E">
        <w:t>compliance shall be demonstrated by</w:t>
      </w:r>
      <w:r w:rsidR="00304DFE">
        <w:t>:</w:t>
      </w:r>
      <w:r w:rsidR="00B2332B" w:rsidRPr="0045530E">
        <w:t xml:space="preserve"> </w:t>
      </w:r>
    </w:p>
    <w:p w14:paraId="0DA71142" w14:textId="77777777" w:rsidR="00304DFE" w:rsidRDefault="00304DFE" w:rsidP="00AA1174">
      <w:pPr>
        <w:ind w:leftChars="900" w:left="2880" w:hangingChars="300" w:hanging="720"/>
        <w:jc w:val="both"/>
      </w:pPr>
    </w:p>
    <w:p w14:paraId="5D4DB9A9" w14:textId="77777777" w:rsidR="00304DFE" w:rsidRDefault="00B2332B" w:rsidP="00170A35">
      <w:pPr>
        <w:pStyle w:val="ListParagraph"/>
        <w:numPr>
          <w:ilvl w:val="0"/>
          <w:numId w:val="19"/>
        </w:numPr>
        <w:ind w:left="3600" w:hanging="720"/>
        <w:jc w:val="both"/>
      </w:pPr>
      <w:r w:rsidRPr="0045530E">
        <w:t>installing a continuous emission monitoring system</w:t>
      </w:r>
      <w:r w:rsidR="00935F6C" w:rsidRPr="0045530E">
        <w:t xml:space="preserve"> as </w:t>
      </w:r>
      <w:r w:rsidR="000E10E5" w:rsidRPr="0045530E">
        <w:t xml:space="preserve">specified </w:t>
      </w:r>
      <w:r w:rsidR="00935F6C" w:rsidRPr="0045530E">
        <w:t xml:space="preserve">in § </w:t>
      </w:r>
      <w:r w:rsidR="00F43730" w:rsidRPr="0045530E">
        <w:t>805.10</w:t>
      </w:r>
      <w:r w:rsidR="00935F6C" w:rsidRPr="0045530E">
        <w:t>(a)</w:t>
      </w:r>
      <w:r w:rsidR="00DF3E38" w:rsidRPr="0045530E">
        <w:t>(1)</w:t>
      </w:r>
      <w:r w:rsidR="00304DFE">
        <w:t>;</w:t>
      </w:r>
      <w:r w:rsidR="007840FE" w:rsidRPr="0045530E">
        <w:t xml:space="preserve"> and</w:t>
      </w:r>
      <w:r w:rsidR="00304DFE">
        <w:t>,</w:t>
      </w:r>
      <w:r w:rsidR="007840FE" w:rsidRPr="0045530E">
        <w:t xml:space="preserve"> </w:t>
      </w:r>
    </w:p>
    <w:p w14:paraId="09D87A70" w14:textId="77777777" w:rsidR="00304DFE" w:rsidRDefault="00304DFE" w:rsidP="00170A35">
      <w:pPr>
        <w:pStyle w:val="ListParagraph"/>
        <w:ind w:left="3600"/>
        <w:jc w:val="both"/>
      </w:pPr>
    </w:p>
    <w:p w14:paraId="50DDDFB2" w14:textId="77777777" w:rsidR="00B2332B" w:rsidRPr="0045530E" w:rsidRDefault="007840FE" w:rsidP="00170A35">
      <w:pPr>
        <w:pStyle w:val="ListParagraph"/>
        <w:numPr>
          <w:ilvl w:val="0"/>
          <w:numId w:val="19"/>
        </w:numPr>
        <w:ind w:left="3600" w:hanging="720"/>
        <w:jc w:val="both"/>
      </w:pPr>
      <w:r w:rsidRPr="0045530E">
        <w:t>record keeping as specified in § 805.11</w:t>
      </w:r>
      <w:r w:rsidR="002D3975" w:rsidRPr="0045530E">
        <w:t>;</w:t>
      </w:r>
      <w:r w:rsidR="00935F6C" w:rsidRPr="0045530E">
        <w:t xml:space="preserve"> and</w:t>
      </w:r>
      <w:r w:rsidR="002D3975" w:rsidRPr="0045530E">
        <w:t xml:space="preserve"> </w:t>
      </w:r>
    </w:p>
    <w:p w14:paraId="04E33845" w14:textId="26D41266" w:rsidR="00304DFE" w:rsidRDefault="00C777D3">
      <w:pPr>
        <w:ind w:leftChars="900" w:left="2880" w:hangingChars="300" w:hanging="720"/>
        <w:jc w:val="both"/>
      </w:pPr>
      <w:r w:rsidRPr="0045530E" w:rsidDel="00C777D3">
        <w:t xml:space="preserve"> </w:t>
      </w:r>
      <w:r w:rsidR="002D3975" w:rsidRPr="0045530E">
        <w:t>(3)</w:t>
      </w:r>
      <w:r w:rsidR="002D3975" w:rsidRPr="0045530E">
        <w:tab/>
      </w:r>
      <w:r w:rsidR="00935F6C" w:rsidRPr="0045530E">
        <w:t>For fuel</w:t>
      </w:r>
      <w:r w:rsidR="000F7D19" w:rsidRPr="0045530E">
        <w:t xml:space="preserve"> burning equipment</w:t>
      </w:r>
      <w:r w:rsidR="00935F6C" w:rsidRPr="0045530E">
        <w:t xml:space="preserve"> subject to § 805.5</w:t>
      </w:r>
      <w:r w:rsidR="00367499" w:rsidRPr="0045530E">
        <w:t xml:space="preserve">(c) or § 805.5(e) </w:t>
      </w:r>
      <w:r w:rsidR="00935F6C" w:rsidRPr="0045530E">
        <w:t>and of a size smaller than one hundred million (100,000,000) BTU per hour, compliance</w:t>
      </w:r>
      <w:r w:rsidR="00B2332B" w:rsidRPr="0045530E">
        <w:t xml:space="preserve"> shall</w:t>
      </w:r>
      <w:r w:rsidR="002E0356" w:rsidRPr="0045530E">
        <w:t xml:space="preserve"> </w:t>
      </w:r>
      <w:r w:rsidR="00935F6C" w:rsidRPr="0045530E">
        <w:t>be demonstrated by</w:t>
      </w:r>
      <w:r w:rsidR="00304DFE">
        <w:t>:</w:t>
      </w:r>
      <w:r w:rsidR="00B2332B" w:rsidRPr="0045530E">
        <w:t xml:space="preserve"> </w:t>
      </w:r>
    </w:p>
    <w:p w14:paraId="1BF261F2" w14:textId="77777777" w:rsidR="00304DFE" w:rsidRDefault="00304DFE">
      <w:pPr>
        <w:ind w:leftChars="900" w:left="2880" w:hangingChars="300" w:hanging="720"/>
        <w:jc w:val="both"/>
      </w:pPr>
    </w:p>
    <w:p w14:paraId="3CA44134" w14:textId="77777777" w:rsidR="00304DFE" w:rsidRDefault="00935F6C" w:rsidP="00170A35">
      <w:pPr>
        <w:pStyle w:val="ListParagraph"/>
        <w:numPr>
          <w:ilvl w:val="0"/>
          <w:numId w:val="20"/>
        </w:numPr>
        <w:ind w:left="3600" w:hanging="720"/>
        <w:jc w:val="both"/>
      </w:pPr>
      <w:r w:rsidRPr="0045530E">
        <w:t>testing as</w:t>
      </w:r>
      <w:r w:rsidR="00B2332B" w:rsidRPr="0045530E">
        <w:t xml:space="preserve"> specified in § 805.</w:t>
      </w:r>
      <w:r w:rsidR="00F43730" w:rsidRPr="0045530E">
        <w:t>10</w:t>
      </w:r>
      <w:r w:rsidRPr="0045530E">
        <w:t>(</w:t>
      </w:r>
      <w:r w:rsidR="00DF3E38" w:rsidRPr="0045530E">
        <w:t>a</w:t>
      </w:r>
      <w:r w:rsidRPr="0045530E">
        <w:t>)</w:t>
      </w:r>
      <w:r w:rsidR="00DF3E38" w:rsidRPr="0045530E">
        <w:t>(2)</w:t>
      </w:r>
      <w:r w:rsidR="00304DFE">
        <w:t>,</w:t>
      </w:r>
      <w:r w:rsidR="00367499" w:rsidRPr="0045530E">
        <w:t xml:space="preserve"> except that such sources may opt to comply with § 805.10(a)</w:t>
      </w:r>
      <w:r w:rsidR="00DF3E38" w:rsidRPr="0045530E">
        <w:t>(1)</w:t>
      </w:r>
      <w:r w:rsidR="00367499" w:rsidRPr="0045530E">
        <w:t xml:space="preserve"> in lieu of § 805.10(</w:t>
      </w:r>
      <w:r w:rsidR="00DF3E38" w:rsidRPr="0045530E">
        <w:t>a</w:t>
      </w:r>
      <w:r w:rsidR="00367499" w:rsidRPr="0045530E">
        <w:t>)</w:t>
      </w:r>
      <w:r w:rsidR="00DF3E38" w:rsidRPr="0045530E">
        <w:t>(2)</w:t>
      </w:r>
      <w:r w:rsidR="00304DFE">
        <w:t>;</w:t>
      </w:r>
      <w:r w:rsidR="007840FE" w:rsidRPr="0045530E">
        <w:t xml:space="preserve"> and</w:t>
      </w:r>
      <w:r w:rsidR="00304DFE">
        <w:t>,</w:t>
      </w:r>
      <w:r w:rsidR="007840FE" w:rsidRPr="0045530E">
        <w:t xml:space="preserve"> </w:t>
      </w:r>
    </w:p>
    <w:p w14:paraId="04663BE4" w14:textId="77777777" w:rsidR="00304DFE" w:rsidRDefault="00304DFE" w:rsidP="003D72EF">
      <w:pPr>
        <w:pStyle w:val="ListParagraph"/>
        <w:spacing w:after="0"/>
        <w:ind w:left="3600"/>
        <w:jc w:val="both"/>
      </w:pPr>
    </w:p>
    <w:p w14:paraId="61143EB1" w14:textId="77777777" w:rsidR="00B2332B" w:rsidRPr="0045530E" w:rsidRDefault="007840FE" w:rsidP="00170A35">
      <w:pPr>
        <w:pStyle w:val="ListParagraph"/>
        <w:numPr>
          <w:ilvl w:val="0"/>
          <w:numId w:val="20"/>
        </w:numPr>
        <w:ind w:left="3600" w:hanging="720"/>
        <w:jc w:val="both"/>
      </w:pPr>
      <w:r w:rsidRPr="0045530E">
        <w:t>record keeping as specified in § 805.11</w:t>
      </w:r>
      <w:r w:rsidR="00935F6C" w:rsidRPr="0045530E">
        <w:t>.</w:t>
      </w:r>
      <w:r w:rsidR="00804E2D" w:rsidRPr="0045530E">
        <w:t xml:space="preserve"> </w:t>
      </w:r>
    </w:p>
    <w:p w14:paraId="60B5F43A" w14:textId="77777777" w:rsidR="00B2332B" w:rsidRPr="0045530E" w:rsidRDefault="00B2332B" w:rsidP="009C35A2">
      <w:pPr>
        <w:ind w:leftChars="1200" w:left="3600" w:hangingChars="300" w:hanging="720"/>
        <w:jc w:val="both"/>
      </w:pPr>
    </w:p>
    <w:p w14:paraId="3F672C70" w14:textId="77777777" w:rsidR="00C44D3C" w:rsidRPr="0045530E" w:rsidRDefault="00804E2D" w:rsidP="00C44D3C">
      <w:pPr>
        <w:ind w:leftChars="600" w:left="2160" w:hangingChars="300" w:hanging="720"/>
        <w:jc w:val="both"/>
      </w:pPr>
      <w:r w:rsidRPr="0045530E">
        <w:t xml:space="preserve"> (</w:t>
      </w:r>
      <w:r w:rsidR="00E66859" w:rsidRPr="0045530E">
        <w:t>g</w:t>
      </w:r>
      <w:r w:rsidRPr="0045530E">
        <w:t>)</w:t>
      </w:r>
      <w:r w:rsidRPr="0045530E">
        <w:tab/>
        <w:t>Alternative compliance</w:t>
      </w:r>
      <w:r w:rsidR="00D47784" w:rsidRPr="0045530E">
        <w:t xml:space="preserve"> with the requirements of </w:t>
      </w:r>
      <w:r w:rsidR="00C97E64" w:rsidRPr="0045530E">
        <w:t>§ 805.5</w:t>
      </w:r>
      <w:r w:rsidR="00D47784" w:rsidRPr="0045530E">
        <w:t xml:space="preserve"> </w:t>
      </w:r>
      <w:r w:rsidRPr="0045530E">
        <w:t xml:space="preserve">can be demonstrated </w:t>
      </w:r>
      <w:r w:rsidR="00C44D3C" w:rsidRPr="0045530E">
        <w:t xml:space="preserve">though the following: </w:t>
      </w:r>
    </w:p>
    <w:p w14:paraId="74209695" w14:textId="77777777" w:rsidR="00C44D3C" w:rsidRPr="0045530E" w:rsidRDefault="00C44D3C" w:rsidP="00C44D3C">
      <w:pPr>
        <w:ind w:left="960" w:hangingChars="400" w:hanging="960"/>
        <w:jc w:val="both"/>
      </w:pPr>
    </w:p>
    <w:p w14:paraId="213DC06D" w14:textId="30D29CB6" w:rsidR="00C44D3C" w:rsidRPr="0045530E" w:rsidRDefault="00C44D3C" w:rsidP="00C44D3C">
      <w:pPr>
        <w:ind w:leftChars="900" w:left="2880" w:hangingChars="300" w:hanging="720"/>
        <w:jc w:val="both"/>
      </w:pPr>
      <w:r w:rsidRPr="0045530E">
        <w:t>(1)</w:t>
      </w:r>
      <w:r w:rsidRPr="0045530E">
        <w:tab/>
        <w:t>Submittal</w:t>
      </w:r>
      <w:r w:rsidR="001919AA" w:rsidRPr="0045530E">
        <w:t xml:space="preserve"> </w:t>
      </w:r>
      <w:r w:rsidR="00C777D3" w:rsidRPr="0045530E">
        <w:t xml:space="preserve">by August 3, 2021, </w:t>
      </w:r>
      <w:r w:rsidR="001919AA" w:rsidRPr="0045530E">
        <w:t>to the Department</w:t>
      </w:r>
      <w:r w:rsidR="00304DFE" w:rsidRPr="00304DFE">
        <w:t xml:space="preserve"> </w:t>
      </w:r>
      <w:r w:rsidR="00304DFE" w:rsidRPr="0045530E">
        <w:t>by the person owning, leasing, operating, or controlling those units</w:t>
      </w:r>
      <w:r w:rsidRPr="0045530E">
        <w:t xml:space="preserve"> of a plan to replace specific units subject to § 805.</w:t>
      </w:r>
      <w:r w:rsidR="00DB0C41" w:rsidRPr="0045530E">
        <w:t>5</w:t>
      </w:r>
      <w:r w:rsidR="002A351E">
        <w:t xml:space="preserve"> that:</w:t>
      </w:r>
      <w:r w:rsidRPr="0045530E">
        <w:t xml:space="preserve"> </w:t>
      </w:r>
    </w:p>
    <w:p w14:paraId="590BD775" w14:textId="77777777" w:rsidR="00C44D3C" w:rsidRPr="0045530E" w:rsidRDefault="00C44D3C" w:rsidP="00C44D3C">
      <w:pPr>
        <w:ind w:leftChars="800" w:left="2880" w:hangingChars="400" w:hanging="960"/>
        <w:jc w:val="both"/>
      </w:pPr>
    </w:p>
    <w:p w14:paraId="365596BF" w14:textId="77777777" w:rsidR="00C44D3C" w:rsidRPr="0045530E" w:rsidRDefault="00C44D3C" w:rsidP="008031C6">
      <w:pPr>
        <w:ind w:leftChars="1200" w:left="3600" w:hangingChars="300" w:hanging="720"/>
        <w:jc w:val="both"/>
      </w:pPr>
      <w:r w:rsidRPr="0045530E">
        <w:lastRenderedPageBreak/>
        <w:t>(A)</w:t>
      </w:r>
      <w:r w:rsidRPr="0045530E">
        <w:tab/>
      </w:r>
      <w:r w:rsidR="00304DFE">
        <w:t>I</w:t>
      </w:r>
      <w:r w:rsidR="00304DFE" w:rsidRPr="0045530E">
        <w:t>mplement the emissions limits in § 805.5(g</w:t>
      </w:r>
      <w:proofErr w:type="gramStart"/>
      <w:r w:rsidR="00304DFE" w:rsidRPr="0045530E">
        <w:t>)(</w:t>
      </w:r>
      <w:proofErr w:type="gramEnd"/>
      <w:r w:rsidR="00304DFE" w:rsidRPr="0045530E">
        <w:t>1)(C)</w:t>
      </w:r>
      <w:r w:rsidR="006600BA">
        <w:t xml:space="preserve"> by </w:t>
      </w:r>
      <w:r w:rsidR="00304DFE">
        <w:t xml:space="preserve"> r</w:t>
      </w:r>
      <w:r w:rsidRPr="0045530E">
        <w:t xml:space="preserve">eplacement with </w:t>
      </w:r>
      <w:r w:rsidR="00681148" w:rsidRPr="0045530E">
        <w:t xml:space="preserve">an electrically-powered heat pump, cogeneration system, or </w:t>
      </w:r>
      <w:r w:rsidR="00262C52" w:rsidRPr="0045530E">
        <w:t xml:space="preserve">technology with </w:t>
      </w:r>
      <w:r w:rsidR="00681148" w:rsidRPr="0045530E">
        <w:t xml:space="preserve">zero </w:t>
      </w:r>
      <w:r w:rsidR="00262C52" w:rsidRPr="0045530E">
        <w:t xml:space="preserve">on-site </w:t>
      </w:r>
      <w:r w:rsidR="00681148" w:rsidRPr="0045530E">
        <w:t>emissions technology approved by the Department</w:t>
      </w:r>
      <w:r w:rsidRPr="0045530E">
        <w:t xml:space="preserve">; </w:t>
      </w:r>
    </w:p>
    <w:p w14:paraId="0C84DECD" w14:textId="77777777" w:rsidR="00B2332B" w:rsidRPr="0045530E" w:rsidRDefault="00B2332B" w:rsidP="00F23909">
      <w:pPr>
        <w:ind w:leftChars="800" w:left="2880" w:hangingChars="400" w:hanging="960"/>
        <w:jc w:val="both"/>
      </w:pPr>
    </w:p>
    <w:p w14:paraId="606427E7" w14:textId="1AD2BACD" w:rsidR="001919AA" w:rsidRPr="0045530E" w:rsidRDefault="00B2332B" w:rsidP="001919AA">
      <w:pPr>
        <w:ind w:leftChars="1200" w:left="3600" w:hangingChars="300" w:hanging="720"/>
        <w:jc w:val="both"/>
      </w:pPr>
      <w:r w:rsidRPr="0045530E">
        <w:t>(B)</w:t>
      </w:r>
      <w:r w:rsidRPr="0045530E">
        <w:tab/>
      </w:r>
      <w:r w:rsidR="006600BA">
        <w:t>Provide a</w:t>
      </w:r>
      <w:r w:rsidR="001919AA" w:rsidRPr="0045530E">
        <w:t xml:space="preserve">dditional capacity needed to provide </w:t>
      </w:r>
      <w:r w:rsidR="00C97E64" w:rsidRPr="0045530E">
        <w:t xml:space="preserve">heat </w:t>
      </w:r>
      <w:r w:rsidR="001919AA" w:rsidRPr="0045530E">
        <w:t xml:space="preserve">to the buildings powered by the unit that is being replaced </w:t>
      </w:r>
      <w:r w:rsidR="006600BA">
        <w:t xml:space="preserve">with </w:t>
      </w:r>
      <w:r w:rsidR="001919AA" w:rsidRPr="0045530E">
        <w:t xml:space="preserve">either zero emissions </w:t>
      </w:r>
      <w:r w:rsidR="006600BA">
        <w:t xml:space="preserve">technology </w:t>
      </w:r>
      <w:r w:rsidR="001919AA" w:rsidRPr="0045530E">
        <w:t xml:space="preserve">or </w:t>
      </w:r>
      <w:r w:rsidR="006600BA">
        <w:t xml:space="preserve">equipment that complies </w:t>
      </w:r>
      <w:r w:rsidR="001919AA" w:rsidRPr="0045530E">
        <w:t xml:space="preserve">with the emission limits in § </w:t>
      </w:r>
      <w:r w:rsidR="00E66859" w:rsidRPr="0045530E">
        <w:t>805.5(g)</w:t>
      </w:r>
      <w:r w:rsidR="001919AA" w:rsidRPr="0045530E">
        <w:t>(</w:t>
      </w:r>
      <w:r w:rsidR="004F6C6D" w:rsidRPr="0045530E">
        <w:t>1</w:t>
      </w:r>
      <w:r w:rsidR="001919AA" w:rsidRPr="0045530E">
        <w:t>)</w:t>
      </w:r>
      <w:r w:rsidR="004F6C6D" w:rsidRPr="0045530E">
        <w:t>(C)</w:t>
      </w:r>
      <w:r w:rsidR="001919AA" w:rsidRPr="0045530E">
        <w:t>; and</w:t>
      </w:r>
    </w:p>
    <w:p w14:paraId="7D5BA30E" w14:textId="77777777" w:rsidR="00B2332B" w:rsidRPr="0045530E" w:rsidRDefault="00B2332B" w:rsidP="00F23909">
      <w:pPr>
        <w:jc w:val="both"/>
      </w:pPr>
    </w:p>
    <w:p w14:paraId="3F8B3DA2" w14:textId="77777777" w:rsidR="00B2332B" w:rsidRPr="0045530E" w:rsidRDefault="00B2332B" w:rsidP="00B2332B">
      <w:pPr>
        <w:ind w:leftChars="1200" w:left="3600" w:hangingChars="300" w:hanging="720"/>
        <w:jc w:val="both"/>
      </w:pPr>
      <w:r w:rsidRPr="0045530E">
        <w:t>(C)</w:t>
      </w:r>
      <w:r w:rsidRPr="0045530E">
        <w:tab/>
      </w:r>
      <w:r w:rsidR="00C44D3C" w:rsidRPr="0045530E">
        <w:t>Implement</w:t>
      </w:r>
      <w:r w:rsidRPr="0045530E">
        <w:t xml:space="preserve"> the following </w:t>
      </w:r>
      <w:r w:rsidR="00C44D3C" w:rsidRPr="0045530E">
        <w:t xml:space="preserve">emission limits if </w:t>
      </w:r>
      <w:r w:rsidRPr="0045530E">
        <w:t xml:space="preserve">the </w:t>
      </w:r>
      <w:r w:rsidR="00C44D3C" w:rsidRPr="0045530E">
        <w:t>unit is not replaced in accordance with</w:t>
      </w:r>
      <w:r w:rsidRPr="0045530E">
        <w:t xml:space="preserve"> the </w:t>
      </w:r>
      <w:r w:rsidR="00C44D3C" w:rsidRPr="0045530E">
        <w:t>plan:</w:t>
      </w:r>
      <w:r w:rsidR="00DB0C41" w:rsidRPr="0045530E">
        <w:t xml:space="preserve"> </w:t>
      </w:r>
    </w:p>
    <w:p w14:paraId="5BC838E8" w14:textId="77777777" w:rsidR="00B2332B" w:rsidRPr="0045530E" w:rsidRDefault="00B2332B" w:rsidP="00F23909">
      <w:pPr>
        <w:ind w:leftChars="791" w:left="2858" w:hangingChars="400" w:hanging="960"/>
        <w:jc w:val="both"/>
      </w:pPr>
    </w:p>
    <w:p w14:paraId="2B3BF9F1" w14:textId="77777777" w:rsidR="00C44D3C" w:rsidRPr="0045530E" w:rsidRDefault="00DB0C41" w:rsidP="008031C6">
      <w:pPr>
        <w:ind w:leftChars="1500" w:left="4320" w:hangingChars="300" w:hanging="720"/>
        <w:jc w:val="both"/>
      </w:pPr>
      <w:r w:rsidRPr="0045530E">
        <w:t>(</w:t>
      </w:r>
      <w:proofErr w:type="spellStart"/>
      <w:r w:rsidRPr="0045530E">
        <w:t>i</w:t>
      </w:r>
      <w:proofErr w:type="spellEnd"/>
      <w:r w:rsidRPr="0045530E">
        <w:t>)</w:t>
      </w:r>
      <w:r w:rsidRPr="0045530E">
        <w:tab/>
        <w:t xml:space="preserve">For dry bottom </w:t>
      </w:r>
      <w:r w:rsidR="003B77E5" w:rsidRPr="0045530E">
        <w:t>coal-</w:t>
      </w:r>
      <w:r w:rsidRPr="0045530E">
        <w:t>fired fuel</w:t>
      </w:r>
      <w:r w:rsidR="000F7D19" w:rsidRPr="0045530E">
        <w:t xml:space="preserve"> burning equipment</w:t>
      </w:r>
      <w:r w:rsidR="001919AA" w:rsidRPr="0045530E">
        <w:t>,</w:t>
      </w:r>
      <w:r w:rsidRPr="0045530E">
        <w:t xml:space="preserve"> </w:t>
      </w:r>
      <w:r w:rsidR="002A18E2" w:rsidRPr="0045530E">
        <w:t xml:space="preserve">eight </w:t>
      </w:r>
      <w:r w:rsidRPr="0045530E">
        <w:t>hundredths pound (0.</w:t>
      </w:r>
      <w:r w:rsidR="002A18E2" w:rsidRPr="0045530E">
        <w:t xml:space="preserve">08 </w:t>
      </w:r>
      <w:r w:rsidRPr="0045530E">
        <w:t xml:space="preserve">lb) per million BTU, based on a calendar day average; </w:t>
      </w:r>
    </w:p>
    <w:p w14:paraId="36F06E57" w14:textId="77777777" w:rsidR="00DB0C41" w:rsidRPr="0045530E" w:rsidRDefault="00DB0C41" w:rsidP="00DB0C41">
      <w:pPr>
        <w:ind w:leftChars="791" w:left="2858" w:hangingChars="400" w:hanging="960"/>
        <w:jc w:val="both"/>
      </w:pPr>
    </w:p>
    <w:p w14:paraId="40C5C6A3" w14:textId="77777777" w:rsidR="00DB0C41" w:rsidRPr="0045530E" w:rsidRDefault="00DB0C41" w:rsidP="00DB0C41">
      <w:pPr>
        <w:ind w:leftChars="1500" w:left="4320" w:hangingChars="300" w:hanging="720"/>
        <w:jc w:val="both"/>
      </w:pPr>
      <w:r w:rsidRPr="0045530E">
        <w:t>(ii)</w:t>
      </w:r>
      <w:r w:rsidRPr="0045530E">
        <w:tab/>
        <w:t>For fuel</w:t>
      </w:r>
      <w:r w:rsidR="000F7D19" w:rsidRPr="0045530E">
        <w:t xml:space="preserve"> burning equipment</w:t>
      </w:r>
      <w:r w:rsidRPr="0045530E">
        <w:t xml:space="preserve"> with a </w:t>
      </w:r>
      <w:r w:rsidR="00CA22FD" w:rsidRPr="0045530E">
        <w:t xml:space="preserve">heat </w:t>
      </w:r>
      <w:r w:rsidRPr="0045530E">
        <w:t>input capacity of one hundred million (100,000,000) BTU per hour or greater</w:t>
      </w:r>
      <w:r w:rsidR="00D577DD" w:rsidRPr="0045530E">
        <w:t xml:space="preserve"> powered by fuel oil or a combination of fuel oil and natural gas</w:t>
      </w:r>
      <w:r w:rsidR="001919AA" w:rsidRPr="0045530E">
        <w:t>,</w:t>
      </w:r>
      <w:r w:rsidRPr="0045530E">
        <w:t xml:space="preserve"> </w:t>
      </w:r>
      <w:r w:rsidR="00334733" w:rsidRPr="0045530E">
        <w:t xml:space="preserve">eight </w:t>
      </w:r>
      <w:r w:rsidRPr="0045530E">
        <w:t>hundredths pound (0.0</w:t>
      </w:r>
      <w:r w:rsidR="00334733" w:rsidRPr="0045530E">
        <w:t>8</w:t>
      </w:r>
      <w:r w:rsidRPr="0045530E">
        <w:t xml:space="preserve"> lb) per million BTU, based on a calendar day average; </w:t>
      </w:r>
    </w:p>
    <w:p w14:paraId="7E623C8B" w14:textId="77777777" w:rsidR="00DB0C41" w:rsidRPr="0045530E" w:rsidRDefault="00DB0C41" w:rsidP="00DB0C41">
      <w:pPr>
        <w:ind w:leftChars="791" w:left="2858" w:hangingChars="400" w:hanging="960"/>
        <w:jc w:val="both"/>
      </w:pPr>
    </w:p>
    <w:p w14:paraId="19B99ED4" w14:textId="77777777" w:rsidR="00DB0C41" w:rsidRPr="0045530E" w:rsidRDefault="00DB0C41" w:rsidP="00DB0C41">
      <w:pPr>
        <w:ind w:leftChars="1500" w:left="4320" w:hangingChars="300" w:hanging="720"/>
        <w:jc w:val="both"/>
      </w:pPr>
      <w:r w:rsidRPr="0045530E">
        <w:t>(iii)</w:t>
      </w:r>
      <w:r w:rsidRPr="0045530E">
        <w:tab/>
        <w:t>For fuel</w:t>
      </w:r>
      <w:r w:rsidR="000F7D19" w:rsidRPr="0045530E">
        <w:t xml:space="preserve"> burning equipment</w:t>
      </w:r>
      <w:r w:rsidRPr="0045530E">
        <w:t xml:space="preserve"> </w:t>
      </w:r>
      <w:r w:rsidR="00D577DD" w:rsidRPr="0045530E">
        <w:t xml:space="preserve">with a </w:t>
      </w:r>
      <w:r w:rsidR="00CA22FD" w:rsidRPr="0045530E">
        <w:t xml:space="preserve">heat </w:t>
      </w:r>
      <w:r w:rsidR="00D577DD" w:rsidRPr="0045530E">
        <w:t xml:space="preserve">input capacity of </w:t>
      </w:r>
      <w:r w:rsidR="00F61B7C" w:rsidRPr="0045530E">
        <w:t>twenty</w:t>
      </w:r>
      <w:r w:rsidR="00D577DD" w:rsidRPr="0045530E">
        <w:t xml:space="preserve"> </w:t>
      </w:r>
      <w:r w:rsidR="00F61B7C" w:rsidRPr="0045530E">
        <w:t>-</w:t>
      </w:r>
      <w:r w:rsidR="00D577DD" w:rsidRPr="0045530E">
        <w:t>five million (25,000,000) BTU per hour or greater and less than one hundred million (100,000,000) BTU per hour powered exclusively by natural gas</w:t>
      </w:r>
      <w:r w:rsidR="001919AA" w:rsidRPr="0045530E">
        <w:t>,</w:t>
      </w:r>
      <w:r w:rsidRPr="0045530E">
        <w:t xml:space="preserve"> </w:t>
      </w:r>
      <w:r w:rsidR="00DE7402" w:rsidRPr="0045530E">
        <w:t>thirty-</w:t>
      </w:r>
      <w:r w:rsidR="00C7335A" w:rsidRPr="0045530E">
        <w:t>five thousand</w:t>
      </w:r>
      <w:r w:rsidRPr="0045530E">
        <w:t>ths pound (0.0</w:t>
      </w:r>
      <w:r w:rsidR="00334733" w:rsidRPr="0045530E">
        <w:t>3</w:t>
      </w:r>
      <w:r w:rsidR="00C7335A" w:rsidRPr="0045530E">
        <w:t>5</w:t>
      </w:r>
      <w:r w:rsidRPr="0045530E">
        <w:t xml:space="preserve"> lb) per million BTU, based on a calendar day average;</w:t>
      </w:r>
    </w:p>
    <w:p w14:paraId="010EE816" w14:textId="77777777" w:rsidR="00C44D3C" w:rsidRPr="0045530E" w:rsidRDefault="00C44D3C" w:rsidP="00C44D3C">
      <w:pPr>
        <w:ind w:left="960" w:hangingChars="400" w:hanging="960"/>
        <w:jc w:val="both"/>
      </w:pPr>
    </w:p>
    <w:p w14:paraId="33EA48E5" w14:textId="77777777" w:rsidR="009C0BF9" w:rsidRPr="0045530E" w:rsidRDefault="00C44D3C" w:rsidP="00C44D3C">
      <w:pPr>
        <w:ind w:leftChars="900" w:left="2880" w:hanging="720"/>
        <w:jc w:val="both"/>
      </w:pPr>
      <w:r w:rsidRPr="0045530E">
        <w:t>(</w:t>
      </w:r>
      <w:r w:rsidR="00DB0C41" w:rsidRPr="0045530E">
        <w:t>2</w:t>
      </w:r>
      <w:r w:rsidRPr="0045530E">
        <w:t>)</w:t>
      </w:r>
      <w:r w:rsidRPr="0045530E">
        <w:tab/>
      </w:r>
      <w:r w:rsidR="00DB0C41" w:rsidRPr="0045530E">
        <w:t>Approval by the Department</w:t>
      </w:r>
      <w:r w:rsidR="00D416F9" w:rsidRPr="0045530E">
        <w:t xml:space="preserve">, by </w:t>
      </w:r>
      <w:r w:rsidR="00837BB1">
        <w:t>June 1</w:t>
      </w:r>
      <w:r w:rsidR="00D416F9" w:rsidRPr="0045530E">
        <w:t>, 202</w:t>
      </w:r>
      <w:r w:rsidR="00BD3FB0" w:rsidRPr="0045530E">
        <w:t>2</w:t>
      </w:r>
      <w:r w:rsidR="00D416F9" w:rsidRPr="0045530E">
        <w:t>,</w:t>
      </w:r>
      <w:r w:rsidR="00DB0C41" w:rsidRPr="0045530E">
        <w:t xml:space="preserve"> of the plan</w:t>
      </w:r>
      <w:r w:rsidR="001919AA" w:rsidRPr="0045530E">
        <w:t xml:space="preserve"> and</w:t>
      </w:r>
      <w:r w:rsidR="00DB0C41" w:rsidRPr="0045530E">
        <w:t xml:space="preserve"> incorporation of requirements </w:t>
      </w:r>
      <w:r w:rsidR="001919AA" w:rsidRPr="0045530E">
        <w:t xml:space="preserve">committed to in the plan </w:t>
      </w:r>
      <w:r w:rsidR="005C3925" w:rsidRPr="0045530E">
        <w:t xml:space="preserve">into a permit issued pursuant to </w:t>
      </w:r>
      <w:r w:rsidR="00E65A53" w:rsidRPr="0045530E">
        <w:t>§ 200 of this title</w:t>
      </w:r>
      <w:r w:rsidR="009C0BF9" w:rsidRPr="0045530E">
        <w:t>; and</w:t>
      </w:r>
    </w:p>
    <w:p w14:paraId="3DFB35CF" w14:textId="77777777" w:rsidR="009C0BF9" w:rsidRPr="0045530E" w:rsidRDefault="009C0BF9" w:rsidP="00C44D3C">
      <w:pPr>
        <w:ind w:leftChars="900" w:left="2880" w:hanging="720"/>
        <w:jc w:val="both"/>
      </w:pPr>
    </w:p>
    <w:p w14:paraId="694C2984" w14:textId="77777777" w:rsidR="00C44D3C" w:rsidRPr="0045530E" w:rsidRDefault="009C0BF9" w:rsidP="00C44D3C">
      <w:pPr>
        <w:ind w:leftChars="900" w:left="2880" w:hanging="720"/>
        <w:jc w:val="both"/>
      </w:pPr>
      <w:r w:rsidRPr="0045530E">
        <w:t>(3)</w:t>
      </w:r>
      <w:r w:rsidRPr="0045530E">
        <w:tab/>
        <w:t xml:space="preserve">Implementation of the approved plan by </w:t>
      </w:r>
      <w:r w:rsidR="00CB060E">
        <w:t>January 1</w:t>
      </w:r>
      <w:r w:rsidRPr="0045530E">
        <w:t>, 2023.</w:t>
      </w:r>
    </w:p>
    <w:p w14:paraId="29E190E9" w14:textId="77777777" w:rsidR="00B2332B" w:rsidRPr="0045530E" w:rsidRDefault="00B2332B" w:rsidP="00B2332B">
      <w:pPr>
        <w:ind w:left="960" w:hangingChars="400" w:hanging="960"/>
        <w:jc w:val="both"/>
      </w:pPr>
    </w:p>
    <w:p w14:paraId="4D80F9F5" w14:textId="77777777" w:rsidR="00B2332B" w:rsidRPr="0045530E" w:rsidRDefault="00B2332B" w:rsidP="00B2332B">
      <w:pPr>
        <w:ind w:left="1440" w:hangingChars="600" w:hanging="1440"/>
        <w:jc w:val="both"/>
      </w:pPr>
      <w:r w:rsidRPr="0045530E">
        <w:t>805.6</w:t>
      </w:r>
      <w:r w:rsidRPr="0045530E">
        <w:tab/>
      </w:r>
      <w:r w:rsidR="00C8055F" w:rsidRPr="0045530E">
        <w:rPr>
          <w:i/>
        </w:rPr>
        <w:t>Asphaltic concrete production.</w:t>
      </w:r>
      <w:r w:rsidR="00C8055F" w:rsidRPr="0045530E">
        <w:t xml:space="preserve">  </w:t>
      </w:r>
      <w:r w:rsidRPr="0045530E">
        <w:t>Any person owning, leasing, operating</w:t>
      </w:r>
      <w:r w:rsidR="006600BA">
        <w:t>,</w:t>
      </w:r>
      <w:r w:rsidRPr="0045530E">
        <w:t xml:space="preserve"> or controlling any asphalt</w:t>
      </w:r>
      <w:r w:rsidR="00916CFC" w:rsidRPr="0045530E">
        <w:t>ic</w:t>
      </w:r>
      <w:r w:rsidRPr="0045530E">
        <w:t xml:space="preserve"> concrete </w:t>
      </w:r>
      <w:r w:rsidR="00916CFC" w:rsidRPr="0045530E">
        <w:t>production equipment</w:t>
      </w:r>
      <w:r w:rsidRPr="0045530E">
        <w:t xml:space="preserve"> subject to § 805:</w:t>
      </w:r>
      <w:r w:rsidR="009C35A2" w:rsidRPr="0045530E">
        <w:t xml:space="preserve"> </w:t>
      </w:r>
    </w:p>
    <w:p w14:paraId="6802187F" w14:textId="77777777" w:rsidR="00B2332B" w:rsidRPr="0045530E" w:rsidRDefault="00B2332B" w:rsidP="00B2332B">
      <w:pPr>
        <w:ind w:left="960" w:hangingChars="400" w:hanging="960"/>
        <w:jc w:val="both"/>
      </w:pPr>
    </w:p>
    <w:p w14:paraId="54609A3E" w14:textId="232268BF" w:rsidR="00B2332B" w:rsidRPr="0045530E" w:rsidRDefault="00B2332B" w:rsidP="008D3A25">
      <w:pPr>
        <w:ind w:leftChars="600" w:left="2160" w:hangingChars="300" w:hanging="720"/>
        <w:jc w:val="both"/>
      </w:pPr>
    </w:p>
    <w:p w14:paraId="190A1B4F" w14:textId="7C8C5064" w:rsidR="00B2332B" w:rsidRPr="0045530E" w:rsidRDefault="00B2332B">
      <w:pPr>
        <w:ind w:leftChars="600" w:left="2160" w:hangingChars="300" w:hanging="720"/>
        <w:jc w:val="both"/>
      </w:pPr>
      <w:r w:rsidRPr="0045530E">
        <w:t>(</w:t>
      </w:r>
      <w:r w:rsidR="003D72EF">
        <w:t>a</w:t>
      </w:r>
      <w:r w:rsidRPr="0045530E">
        <w:t>)</w:t>
      </w:r>
      <w:r w:rsidRPr="0045530E">
        <w:tab/>
        <w:t xml:space="preserve">After January 1, 2005, </w:t>
      </w:r>
      <w:r w:rsidR="002E2BF1" w:rsidRPr="0045530E">
        <w:t>equipment</w:t>
      </w:r>
      <w:r w:rsidRPr="0045530E">
        <w:t xml:space="preserve"> </w:t>
      </w:r>
      <w:r w:rsidR="006600BA">
        <w:t>that</w:t>
      </w:r>
      <w:r w:rsidRPr="0045530E">
        <w:t xml:space="preserve"> has the potential to emit twenty-five (25) tons per year of NOx or greater</w:t>
      </w:r>
      <w:r w:rsidR="006600BA">
        <w:t>,</w:t>
      </w:r>
      <w:r w:rsidRPr="0045530E">
        <w:t xml:space="preserve"> shall </w:t>
      </w:r>
      <w:r w:rsidR="006600BA">
        <w:t xml:space="preserve">not </w:t>
      </w:r>
      <w:r w:rsidRPr="0045530E">
        <w:t xml:space="preserve">emit </w:t>
      </w:r>
      <w:r w:rsidR="008A253D" w:rsidRPr="0045530E">
        <w:t xml:space="preserve">NOx </w:t>
      </w:r>
      <w:r w:rsidRPr="0045530E">
        <w:t xml:space="preserve">at a rate greater than one hundred fifty (150) ppmvd at seven percent (7%) O2 and carbon </w:t>
      </w:r>
      <w:r w:rsidRPr="0045530E">
        <w:lastRenderedPageBreak/>
        <w:t>monoxide to a level of five hundred (500) ppmvd at seven percent (7%) O2;</w:t>
      </w:r>
      <w:r w:rsidR="002E0356" w:rsidRPr="0045530E">
        <w:t xml:space="preserve"> and</w:t>
      </w:r>
    </w:p>
    <w:p w14:paraId="33C676EC" w14:textId="77777777" w:rsidR="00B2332B" w:rsidRPr="0045530E" w:rsidRDefault="00B2332B">
      <w:pPr>
        <w:ind w:leftChars="600" w:left="2160" w:hangingChars="300" w:hanging="720"/>
        <w:jc w:val="both"/>
      </w:pPr>
    </w:p>
    <w:p w14:paraId="5FCD11AD" w14:textId="2DF50198" w:rsidR="006600BA" w:rsidRDefault="00B2332B">
      <w:pPr>
        <w:ind w:leftChars="600" w:left="2160" w:hangingChars="300" w:hanging="720"/>
        <w:jc w:val="both"/>
      </w:pPr>
      <w:r w:rsidRPr="0045530E">
        <w:t>(</w:t>
      </w:r>
      <w:r w:rsidR="003D72EF">
        <w:t>b</w:t>
      </w:r>
      <w:r w:rsidRPr="0045530E">
        <w:t>)</w:t>
      </w:r>
      <w:r w:rsidRPr="0045530E">
        <w:tab/>
      </w:r>
      <w:r w:rsidR="006600BA">
        <w:t xml:space="preserve">If </w:t>
      </w:r>
      <w:r w:rsidRPr="0045530E">
        <w:t>required to comply with § 805.6</w:t>
      </w:r>
      <w:r w:rsidR="006600BA">
        <w:t>,</w:t>
      </w:r>
      <w:r w:rsidRPr="0045530E">
        <w:t xml:space="preserve"> shal</w:t>
      </w:r>
      <w:r w:rsidR="002E0356" w:rsidRPr="0045530E">
        <w:t xml:space="preserve">l </w:t>
      </w:r>
      <w:r w:rsidRPr="0045530E">
        <w:t>maintain continuous compliance</w:t>
      </w:r>
      <w:r w:rsidR="006600BA">
        <w:t>, which</w:t>
      </w:r>
      <w:r w:rsidRPr="0045530E">
        <w:t xml:space="preserve"> shall be demonstrated by</w:t>
      </w:r>
      <w:r w:rsidR="006600BA">
        <w:t>:</w:t>
      </w:r>
      <w:r w:rsidRPr="0045530E">
        <w:t xml:space="preserve"> </w:t>
      </w:r>
    </w:p>
    <w:p w14:paraId="592C00CC" w14:textId="77777777" w:rsidR="006600BA" w:rsidRDefault="006600BA">
      <w:pPr>
        <w:ind w:leftChars="600" w:left="2160" w:hangingChars="300" w:hanging="720"/>
        <w:jc w:val="both"/>
      </w:pPr>
    </w:p>
    <w:p w14:paraId="082781FB" w14:textId="77777777" w:rsidR="007C0D29" w:rsidRDefault="00B2332B" w:rsidP="00170A35">
      <w:pPr>
        <w:pStyle w:val="ListParagraph"/>
        <w:numPr>
          <w:ilvl w:val="0"/>
          <w:numId w:val="21"/>
        </w:numPr>
        <w:ind w:left="2880" w:hanging="720"/>
        <w:jc w:val="both"/>
      </w:pPr>
      <w:r w:rsidRPr="0045530E">
        <w:t xml:space="preserve">installing </w:t>
      </w:r>
      <w:r w:rsidR="009C4A5E" w:rsidRPr="0045530E">
        <w:t xml:space="preserve">and operating </w:t>
      </w:r>
      <w:r w:rsidRPr="0045530E">
        <w:t xml:space="preserve">a continuous emissions monitoring system as </w:t>
      </w:r>
      <w:r w:rsidR="00732D2C" w:rsidRPr="0045530E">
        <w:t>specified</w:t>
      </w:r>
      <w:r w:rsidRPr="0045530E">
        <w:t xml:space="preserve"> in </w:t>
      </w:r>
      <w:r w:rsidR="006E6D2D" w:rsidRPr="0045530E">
        <w:t xml:space="preserve">§ </w:t>
      </w:r>
      <w:r w:rsidR="00F43730" w:rsidRPr="0045530E">
        <w:t>805.10</w:t>
      </w:r>
      <w:r w:rsidR="006E6D2D" w:rsidRPr="0045530E">
        <w:t>(</w:t>
      </w:r>
      <w:r w:rsidRPr="0045530E">
        <w:t>a</w:t>
      </w:r>
      <w:r w:rsidR="006E6D2D" w:rsidRPr="0045530E">
        <w:t>)</w:t>
      </w:r>
      <w:r w:rsidR="00DF3E38" w:rsidRPr="0045530E">
        <w:t>(1)</w:t>
      </w:r>
      <w:r w:rsidR="006600BA">
        <w:t>;</w:t>
      </w:r>
      <w:r w:rsidR="006E6D2D" w:rsidRPr="0045530E">
        <w:t xml:space="preserve"> or</w:t>
      </w:r>
      <w:r w:rsidR="007C0D29">
        <w:t>,</w:t>
      </w:r>
      <w:r w:rsidRPr="0045530E">
        <w:t xml:space="preserve"> </w:t>
      </w:r>
    </w:p>
    <w:p w14:paraId="6EB234ED" w14:textId="77777777" w:rsidR="007C0D29" w:rsidRDefault="007C0D29" w:rsidP="00170A35">
      <w:pPr>
        <w:pStyle w:val="ListParagraph"/>
        <w:ind w:left="2880"/>
        <w:jc w:val="both"/>
      </w:pPr>
    </w:p>
    <w:p w14:paraId="45A55186" w14:textId="77777777" w:rsidR="00B2332B" w:rsidRPr="0045530E" w:rsidRDefault="00B2332B" w:rsidP="00170A35">
      <w:pPr>
        <w:pStyle w:val="ListParagraph"/>
        <w:numPr>
          <w:ilvl w:val="0"/>
          <w:numId w:val="21"/>
        </w:numPr>
        <w:ind w:left="2880" w:hanging="720"/>
        <w:jc w:val="both"/>
      </w:pPr>
      <w:r w:rsidRPr="0045530E">
        <w:t xml:space="preserve">testing </w:t>
      </w:r>
      <w:r w:rsidR="0065246D" w:rsidRPr="0045530E">
        <w:t>as</w:t>
      </w:r>
      <w:r w:rsidRPr="0045530E">
        <w:t xml:space="preserve"> specified in § 805</w:t>
      </w:r>
      <w:r w:rsidR="00F43730" w:rsidRPr="0045530E">
        <w:t>.10</w:t>
      </w:r>
      <w:r w:rsidR="0065246D" w:rsidRPr="0045530E">
        <w:t>(</w:t>
      </w:r>
      <w:r w:rsidR="00DF3E38" w:rsidRPr="0045530E">
        <w:t>a</w:t>
      </w:r>
      <w:r w:rsidR="0065246D" w:rsidRPr="0045530E">
        <w:t>)</w:t>
      </w:r>
      <w:r w:rsidR="00DF3E38" w:rsidRPr="0045530E">
        <w:t>(2)</w:t>
      </w:r>
      <w:r w:rsidR="007840FE" w:rsidRPr="0045530E">
        <w:t>, and record keeping as specified in § 805.11</w:t>
      </w:r>
      <w:r w:rsidR="0065246D" w:rsidRPr="0045530E">
        <w:t>.</w:t>
      </w:r>
    </w:p>
    <w:p w14:paraId="018C6B72" w14:textId="77777777" w:rsidR="00B2332B" w:rsidRPr="0045530E" w:rsidRDefault="00F43730" w:rsidP="00F23909">
      <w:pPr>
        <w:ind w:left="1440" w:hangingChars="600" w:hanging="1440"/>
        <w:jc w:val="both"/>
      </w:pPr>
      <w:r w:rsidRPr="0045530E">
        <w:t>805.7</w:t>
      </w:r>
      <w:r w:rsidRPr="0045530E">
        <w:tab/>
      </w:r>
      <w:r w:rsidR="00C8055F" w:rsidRPr="0045530E">
        <w:rPr>
          <w:i/>
        </w:rPr>
        <w:t>Stationary engines.</w:t>
      </w:r>
      <w:r w:rsidR="00C8055F" w:rsidRPr="0045530E">
        <w:t xml:space="preserve"> </w:t>
      </w:r>
      <w:r w:rsidRPr="0045530E">
        <w:t xml:space="preserve">Any person owning, leasing, operating or controlling any stationary </w:t>
      </w:r>
      <w:r w:rsidR="00353A47" w:rsidRPr="0045530E">
        <w:t>engine</w:t>
      </w:r>
      <w:r w:rsidRPr="0045530E">
        <w:t xml:space="preserve"> subject to § 805</w:t>
      </w:r>
      <w:r w:rsidR="00B2332B" w:rsidRPr="0045530E">
        <w:t>:</w:t>
      </w:r>
    </w:p>
    <w:p w14:paraId="03029982" w14:textId="77777777" w:rsidR="00B2332B" w:rsidRPr="0045530E" w:rsidRDefault="00B2332B" w:rsidP="00F23909">
      <w:pPr>
        <w:jc w:val="both"/>
      </w:pPr>
    </w:p>
    <w:p w14:paraId="15C7C056" w14:textId="77777777" w:rsidR="00B2332B" w:rsidRPr="0045530E" w:rsidRDefault="00F43730" w:rsidP="00F23909">
      <w:pPr>
        <w:ind w:leftChars="600" w:left="2160" w:hangingChars="300" w:hanging="720"/>
        <w:jc w:val="both"/>
      </w:pPr>
      <w:r w:rsidRPr="0045530E">
        <w:t>(a)</w:t>
      </w:r>
      <w:r w:rsidRPr="0045530E">
        <w:tab/>
      </w:r>
      <w:r w:rsidR="002D703B" w:rsidRPr="0045530E">
        <w:t xml:space="preserve">After August 3, 2022, </w:t>
      </w:r>
      <w:r w:rsidR="009D1940">
        <w:t xml:space="preserve">for </w:t>
      </w:r>
      <w:r w:rsidR="002D703B" w:rsidRPr="0045530E">
        <w:t>a stationary</w:t>
      </w:r>
      <w:r w:rsidR="00353A47" w:rsidRPr="0045530E">
        <w:t xml:space="preserve"> engine</w:t>
      </w:r>
      <w:r w:rsidR="002D703B" w:rsidRPr="0045530E">
        <w:t xml:space="preserve"> unit with a maximum rated power output</w:t>
      </w:r>
      <w:r w:rsidR="00B2332B" w:rsidRPr="0045530E">
        <w:t xml:space="preserve"> of </w:t>
      </w:r>
      <w:r w:rsidR="003A48F6" w:rsidRPr="0045530E">
        <w:t>fifty (50) horsepower</w:t>
      </w:r>
      <w:r w:rsidR="002D703B" w:rsidRPr="0045530E">
        <w:t xml:space="preserve"> or greater</w:t>
      </w:r>
      <w:r w:rsidR="009D1940">
        <w:t>,</w:t>
      </w:r>
      <w:r w:rsidR="002D703B" w:rsidRPr="0045530E">
        <w:t xml:space="preserve"> shall </w:t>
      </w:r>
      <w:r w:rsidR="009D1940">
        <w:t xml:space="preserve">not </w:t>
      </w:r>
      <w:r w:rsidR="002D703B" w:rsidRPr="0045530E">
        <w:t>emit NO</w:t>
      </w:r>
      <w:r w:rsidR="00F91D3F" w:rsidRPr="0045530E">
        <w:t>x</w:t>
      </w:r>
      <w:r w:rsidR="002D703B" w:rsidRPr="0045530E">
        <w:t xml:space="preserve"> at an</w:t>
      </w:r>
      <w:r w:rsidR="00B2332B" w:rsidRPr="0045530E">
        <w:t xml:space="preserve"> emission rate </w:t>
      </w:r>
      <w:r w:rsidR="000C009B" w:rsidRPr="0045530E">
        <w:t>greater than</w:t>
      </w:r>
      <w:r w:rsidR="00B2332B" w:rsidRPr="0045530E">
        <w:t xml:space="preserve"> the </w:t>
      </w:r>
      <w:r w:rsidR="000C009B" w:rsidRPr="0045530E">
        <w:t>following:</w:t>
      </w:r>
    </w:p>
    <w:p w14:paraId="2B2A5362" w14:textId="77777777" w:rsidR="00B2332B" w:rsidRPr="0045530E" w:rsidRDefault="00B2332B" w:rsidP="00B2332B">
      <w:pPr>
        <w:ind w:left="960" w:hangingChars="400" w:hanging="960"/>
        <w:jc w:val="both"/>
      </w:pPr>
    </w:p>
    <w:p w14:paraId="11CDA145" w14:textId="77777777" w:rsidR="000C009B" w:rsidRPr="0045530E" w:rsidRDefault="000C009B" w:rsidP="000C009B">
      <w:pPr>
        <w:ind w:leftChars="900" w:left="2880" w:hangingChars="300" w:hanging="720"/>
        <w:jc w:val="both"/>
      </w:pPr>
      <w:r w:rsidRPr="0045530E">
        <w:t>(1)</w:t>
      </w:r>
      <w:r w:rsidRPr="0045530E">
        <w:tab/>
        <w:t xml:space="preserve">For rich burn units fueled by gaseous or liquid fuels, </w:t>
      </w:r>
      <w:r w:rsidR="00D92C19" w:rsidRPr="0045530E">
        <w:t>seven tenths</w:t>
      </w:r>
      <w:r w:rsidRPr="0045530E">
        <w:t xml:space="preserve"> (</w:t>
      </w:r>
      <w:r w:rsidR="00D92C19" w:rsidRPr="0045530E">
        <w:t>0.7</w:t>
      </w:r>
      <w:r w:rsidRPr="0045530E">
        <w:t xml:space="preserve">) </w:t>
      </w:r>
      <w:r w:rsidR="00D92C19" w:rsidRPr="0045530E">
        <w:t>grams per brake-horsepower hour</w:t>
      </w:r>
      <w:r w:rsidRPr="0045530E">
        <w:t>;</w:t>
      </w:r>
    </w:p>
    <w:p w14:paraId="18B09AEA" w14:textId="77777777" w:rsidR="000C009B" w:rsidRPr="0045530E" w:rsidRDefault="000C009B" w:rsidP="000C009B">
      <w:pPr>
        <w:ind w:leftChars="600" w:left="2160" w:hangingChars="300" w:hanging="720"/>
        <w:jc w:val="both"/>
      </w:pPr>
    </w:p>
    <w:p w14:paraId="4A33BFBD" w14:textId="77777777" w:rsidR="000C009B" w:rsidRPr="0045530E" w:rsidRDefault="000C009B" w:rsidP="000C009B">
      <w:pPr>
        <w:ind w:leftChars="900" w:left="2880" w:hangingChars="300" w:hanging="720"/>
        <w:jc w:val="both"/>
      </w:pPr>
      <w:r w:rsidRPr="0045530E">
        <w:t>(2)</w:t>
      </w:r>
      <w:r w:rsidRPr="0045530E">
        <w:tab/>
        <w:t xml:space="preserve">For lean burn units fueled by gaseous fuels, </w:t>
      </w:r>
      <w:r w:rsidR="00D92C19" w:rsidRPr="0045530E">
        <w:t>seven tenths</w:t>
      </w:r>
      <w:r w:rsidRPr="0045530E">
        <w:t xml:space="preserve"> (</w:t>
      </w:r>
      <w:r w:rsidR="00D92C19" w:rsidRPr="0045530E">
        <w:t>0.7</w:t>
      </w:r>
      <w:r w:rsidRPr="0045530E">
        <w:t xml:space="preserve">) </w:t>
      </w:r>
      <w:r w:rsidR="00D92C19" w:rsidRPr="0045530E">
        <w:t xml:space="preserve">grams </w:t>
      </w:r>
      <w:r w:rsidRPr="0045530E">
        <w:t xml:space="preserve">per </w:t>
      </w:r>
      <w:r w:rsidR="00D92C19" w:rsidRPr="0045530E">
        <w:t>brake-horsepower hour</w:t>
      </w:r>
      <w:r w:rsidRPr="0045530E">
        <w:t>;</w:t>
      </w:r>
    </w:p>
    <w:p w14:paraId="3E4F84BF" w14:textId="77777777" w:rsidR="000C009B" w:rsidRPr="0045530E" w:rsidRDefault="000C009B" w:rsidP="000C009B">
      <w:pPr>
        <w:ind w:leftChars="600" w:left="2160" w:hangingChars="300" w:hanging="720"/>
        <w:jc w:val="both"/>
      </w:pPr>
    </w:p>
    <w:p w14:paraId="0BA475B2" w14:textId="77777777" w:rsidR="000C009B" w:rsidRPr="0045530E" w:rsidRDefault="000C009B" w:rsidP="000C009B">
      <w:pPr>
        <w:ind w:leftChars="900" w:left="2880" w:hangingChars="300" w:hanging="720"/>
        <w:jc w:val="both"/>
      </w:pPr>
      <w:r w:rsidRPr="0045530E">
        <w:t>(3)</w:t>
      </w:r>
      <w:r w:rsidRPr="0045530E">
        <w:tab/>
        <w:t>For lean burn units fueled by liquid or dual fuels</w:t>
      </w:r>
      <w:r w:rsidR="00BA4227" w:rsidRPr="0045530E">
        <w:t>:</w:t>
      </w:r>
      <w:r w:rsidR="002E0356" w:rsidRPr="0045530E">
        <w:t xml:space="preserve"> </w:t>
      </w:r>
    </w:p>
    <w:p w14:paraId="3F43ED21" w14:textId="77777777" w:rsidR="000C009B" w:rsidRPr="0045530E" w:rsidRDefault="000C009B" w:rsidP="005F08CF">
      <w:pPr>
        <w:jc w:val="both"/>
      </w:pPr>
    </w:p>
    <w:p w14:paraId="2BECDF0F" w14:textId="77777777" w:rsidR="00BA4227" w:rsidRPr="0045530E" w:rsidRDefault="00BA4227" w:rsidP="005F08CF">
      <w:pPr>
        <w:ind w:leftChars="1162" w:left="3509" w:hanging="720"/>
        <w:jc w:val="both"/>
      </w:pPr>
      <w:r w:rsidRPr="0045530E">
        <w:t>(A)</w:t>
      </w:r>
      <w:r w:rsidRPr="0045530E">
        <w:tab/>
        <w:t>With an approved permit pursuant to § 200 issued before August 3, 2023, six and five tenths (6.5) grams per brake-horsepower hour; and</w:t>
      </w:r>
    </w:p>
    <w:p w14:paraId="393614A5" w14:textId="77777777" w:rsidR="00BA4227" w:rsidRPr="0045530E" w:rsidRDefault="00BA4227" w:rsidP="005F08CF">
      <w:pPr>
        <w:ind w:leftChars="1162" w:left="3509" w:hanging="720"/>
        <w:jc w:val="both"/>
      </w:pPr>
    </w:p>
    <w:p w14:paraId="6AC2E1BE" w14:textId="77777777" w:rsidR="00BA4227" w:rsidRPr="0045530E" w:rsidRDefault="00BA4227" w:rsidP="005F08CF">
      <w:pPr>
        <w:ind w:leftChars="1162" w:left="3509" w:hanging="720"/>
        <w:jc w:val="both"/>
      </w:pPr>
      <w:r w:rsidRPr="0045530E">
        <w:t>(B)</w:t>
      </w:r>
      <w:r w:rsidRPr="0045530E">
        <w:tab/>
      </w:r>
      <w:r w:rsidR="009D1940">
        <w:t xml:space="preserve">For which a permit </w:t>
      </w:r>
      <w:r w:rsidR="009D1940" w:rsidRPr="0045530E">
        <w:t xml:space="preserve">pursuant to § 200 </w:t>
      </w:r>
      <w:r w:rsidR="009D1940">
        <w:t>has been applied for,</w:t>
      </w:r>
      <w:r w:rsidRPr="0045530E">
        <w:t xml:space="preserve"> or </w:t>
      </w:r>
      <w:r w:rsidR="009D1940">
        <w:t xml:space="preserve">for which </w:t>
      </w:r>
      <w:r w:rsidRPr="0045530E">
        <w:t xml:space="preserve">an initial or modified permit pursuant to § 200 </w:t>
      </w:r>
      <w:r w:rsidR="009D1940">
        <w:t xml:space="preserve">has been issued </w:t>
      </w:r>
      <w:r w:rsidRPr="0045530E">
        <w:t>on or after August 3, 2023, two and three tenths (2.3) grams per brake-horsepower hour; and</w:t>
      </w:r>
    </w:p>
    <w:p w14:paraId="515B3421" w14:textId="77777777" w:rsidR="00BA4227" w:rsidRPr="0045530E" w:rsidRDefault="00BA4227" w:rsidP="000C009B">
      <w:pPr>
        <w:ind w:leftChars="600" w:left="2160" w:hangingChars="300" w:hanging="720"/>
        <w:jc w:val="both"/>
      </w:pPr>
    </w:p>
    <w:p w14:paraId="32EBA45D" w14:textId="77777777" w:rsidR="000C009B" w:rsidRPr="0045530E" w:rsidRDefault="000C009B" w:rsidP="000C009B">
      <w:pPr>
        <w:ind w:leftChars="900" w:left="2880" w:hangingChars="300" w:hanging="720"/>
        <w:jc w:val="both"/>
      </w:pPr>
      <w:r w:rsidRPr="0045530E">
        <w:t>(4)</w:t>
      </w:r>
      <w:r w:rsidRPr="0045530E">
        <w:tab/>
        <w:t xml:space="preserve">For </w:t>
      </w:r>
      <w:r w:rsidR="00131E2D" w:rsidRPr="0045530E">
        <w:t>units</w:t>
      </w:r>
      <w:r w:rsidRPr="0045530E">
        <w:t xml:space="preserve"> fueled by </w:t>
      </w:r>
      <w:r w:rsidR="00131E2D" w:rsidRPr="0045530E">
        <w:t>waste, landfill, or digester gases</w:t>
      </w:r>
      <w:r w:rsidRPr="0045530E">
        <w:t xml:space="preserve">, </w:t>
      </w:r>
      <w:r w:rsidR="00D92C19" w:rsidRPr="0045530E">
        <w:t>six tenths</w:t>
      </w:r>
      <w:r w:rsidRPr="0045530E">
        <w:t xml:space="preserve"> (</w:t>
      </w:r>
      <w:r w:rsidR="00D92C19" w:rsidRPr="0045530E">
        <w:t>0.6</w:t>
      </w:r>
      <w:r w:rsidRPr="0045530E">
        <w:t xml:space="preserve">) </w:t>
      </w:r>
      <w:r w:rsidR="00D92C19" w:rsidRPr="0045530E">
        <w:t>grams per brake-horsepower hour</w:t>
      </w:r>
      <w:r w:rsidRPr="0045530E">
        <w:t>;</w:t>
      </w:r>
    </w:p>
    <w:p w14:paraId="150D5D7A" w14:textId="77777777" w:rsidR="000C009B" w:rsidRPr="0045530E" w:rsidRDefault="000C009B" w:rsidP="000C009B">
      <w:pPr>
        <w:ind w:leftChars="900" w:left="2880" w:hangingChars="300" w:hanging="720"/>
        <w:jc w:val="both"/>
      </w:pPr>
    </w:p>
    <w:p w14:paraId="3CC7D50E" w14:textId="77777777" w:rsidR="00556302" w:rsidRDefault="00E66859" w:rsidP="008031C6">
      <w:pPr>
        <w:ind w:leftChars="600" w:left="2160" w:hangingChars="300" w:hanging="720"/>
        <w:jc w:val="both"/>
      </w:pPr>
      <w:r w:rsidRPr="0045530E">
        <w:t>(b)</w:t>
      </w:r>
      <w:r w:rsidRPr="0045530E">
        <w:tab/>
      </w:r>
      <w:r w:rsidR="003D6101" w:rsidRPr="0045530E">
        <w:t xml:space="preserve">If </w:t>
      </w:r>
      <w:r w:rsidRPr="0045530E">
        <w:t xml:space="preserve">post-combustion controls are applied to the stationary </w:t>
      </w:r>
      <w:r w:rsidR="00353A47" w:rsidRPr="0045530E">
        <w:t>engine</w:t>
      </w:r>
      <w:r w:rsidRPr="0045530E">
        <w:t xml:space="preserve"> in order to comply with the emission limits in § 805.7</w:t>
      </w:r>
      <w:r w:rsidR="00C97E64" w:rsidRPr="0045530E">
        <w:t>(a)</w:t>
      </w:r>
      <w:r w:rsidRPr="0045530E">
        <w:t xml:space="preserve">, emission controls shall be operating at full effectiveness as soon as possible, </w:t>
      </w:r>
      <w:r w:rsidR="00CC2FCC" w:rsidRPr="0045530E">
        <w:t>but not later than</w:t>
      </w:r>
      <w:r w:rsidR="00556302">
        <w:t>:</w:t>
      </w:r>
      <w:r w:rsidR="00CC2FCC" w:rsidRPr="0045530E">
        <w:t xml:space="preserve"> </w:t>
      </w:r>
    </w:p>
    <w:p w14:paraId="59455BB7" w14:textId="77777777" w:rsidR="00556302" w:rsidRDefault="00556302" w:rsidP="008031C6">
      <w:pPr>
        <w:ind w:leftChars="600" w:left="2160" w:hangingChars="300" w:hanging="720"/>
        <w:jc w:val="both"/>
      </w:pPr>
    </w:p>
    <w:p w14:paraId="54DC6F52" w14:textId="77777777" w:rsidR="00556302" w:rsidRDefault="00CC2FCC" w:rsidP="00170A35">
      <w:pPr>
        <w:pStyle w:val="ListParagraph"/>
        <w:numPr>
          <w:ilvl w:val="0"/>
          <w:numId w:val="22"/>
        </w:numPr>
        <w:jc w:val="both"/>
      </w:pPr>
      <w:r w:rsidRPr="0045530E">
        <w:t xml:space="preserve">the amount of time to achieve the manufacturer-recommended control device operating conditions, including but not limited to temperature, or </w:t>
      </w:r>
    </w:p>
    <w:p w14:paraId="27A76F96" w14:textId="77777777" w:rsidR="00556302" w:rsidRDefault="00556302" w:rsidP="003D72EF">
      <w:pPr>
        <w:pStyle w:val="ListParagraph"/>
        <w:spacing w:after="0"/>
        <w:ind w:left="2520"/>
        <w:jc w:val="both"/>
      </w:pPr>
    </w:p>
    <w:p w14:paraId="5D709C51" w14:textId="77777777" w:rsidR="00131E2D" w:rsidRPr="0045530E" w:rsidRDefault="00CC2FCC" w:rsidP="00170A35">
      <w:pPr>
        <w:pStyle w:val="ListParagraph"/>
        <w:numPr>
          <w:ilvl w:val="0"/>
          <w:numId w:val="22"/>
        </w:numPr>
        <w:jc w:val="both"/>
      </w:pPr>
      <w:r w:rsidRPr="0045530E">
        <w:t>an alternative time limit specified in a permit pursuant to § 200</w:t>
      </w:r>
      <w:r w:rsidR="00E66859" w:rsidRPr="0045530E">
        <w:t>;</w:t>
      </w:r>
      <w:r w:rsidR="00556302">
        <w:t xml:space="preserve"> and</w:t>
      </w:r>
    </w:p>
    <w:p w14:paraId="0DCDE1B0" w14:textId="3113FC15" w:rsidR="00F83CC3" w:rsidRPr="0045530E" w:rsidRDefault="00382C5F" w:rsidP="00F83CC3">
      <w:pPr>
        <w:ind w:leftChars="600" w:left="2160" w:hangingChars="300" w:hanging="720"/>
        <w:jc w:val="both"/>
      </w:pPr>
      <w:r w:rsidRPr="0045530E" w:rsidDel="00382C5F">
        <w:t xml:space="preserve"> </w:t>
      </w:r>
      <w:r w:rsidR="00131E2D" w:rsidRPr="0045530E">
        <w:t>(c)</w:t>
      </w:r>
      <w:r w:rsidR="00131E2D" w:rsidRPr="0045530E">
        <w:tab/>
      </w:r>
      <w:r w:rsidR="00C04BDE" w:rsidRPr="0045530E">
        <w:t xml:space="preserve">Any person </w:t>
      </w:r>
      <w:r w:rsidR="003D6101" w:rsidRPr="0045530E">
        <w:t>subject to</w:t>
      </w:r>
      <w:r w:rsidR="00C04BDE" w:rsidRPr="0045530E">
        <w:t xml:space="preserve"> § 805.7 shall maintain the </w:t>
      </w:r>
      <w:r w:rsidR="00131E2D" w:rsidRPr="0045530E">
        <w:t xml:space="preserve">unit </w:t>
      </w:r>
      <w:r w:rsidR="00C04BDE" w:rsidRPr="0045530E">
        <w:t xml:space="preserve">in </w:t>
      </w:r>
      <w:r w:rsidR="00DF420E">
        <w:t xml:space="preserve">accordance with </w:t>
      </w:r>
      <w:r w:rsidR="00C04BDE" w:rsidRPr="0045530E">
        <w:t xml:space="preserve">the </w:t>
      </w:r>
      <w:r w:rsidR="004A0B0C" w:rsidRPr="0045530E">
        <w:t xml:space="preserve">following </w:t>
      </w:r>
      <w:r w:rsidR="00C04BDE" w:rsidRPr="0045530E">
        <w:t>requirements</w:t>
      </w:r>
      <w:r w:rsidR="00F83CC3" w:rsidRPr="0045530E">
        <w:t>:</w:t>
      </w:r>
    </w:p>
    <w:p w14:paraId="2E57DA74" w14:textId="77777777" w:rsidR="00F83CC3" w:rsidRPr="0045530E" w:rsidRDefault="00F83CC3" w:rsidP="00F83CC3">
      <w:pPr>
        <w:ind w:left="960" w:hangingChars="400" w:hanging="960"/>
        <w:jc w:val="both"/>
      </w:pPr>
    </w:p>
    <w:p w14:paraId="7B6472D9" w14:textId="77777777" w:rsidR="00F83CC3" w:rsidRPr="0045530E" w:rsidRDefault="00F83CC3" w:rsidP="00AA1174">
      <w:pPr>
        <w:ind w:leftChars="900" w:left="2880" w:hangingChars="300" w:hanging="720"/>
        <w:jc w:val="both"/>
      </w:pPr>
      <w:r w:rsidRPr="0045530E">
        <w:t>(1)</w:t>
      </w:r>
      <w:r w:rsidRPr="0045530E">
        <w:tab/>
      </w:r>
      <w:r w:rsidR="00AF6F45" w:rsidRPr="0045530E">
        <w:softHyphen/>
        <w:t xml:space="preserve">All </w:t>
      </w:r>
      <w:r w:rsidR="004579BB" w:rsidRPr="0045530E">
        <w:t xml:space="preserve">stationary </w:t>
      </w:r>
      <w:r w:rsidR="00AF6F45" w:rsidRPr="0045530E">
        <w:t xml:space="preserve">engines must have </w:t>
      </w:r>
      <w:r w:rsidRPr="0045530E">
        <w:t>a</w:t>
      </w:r>
      <w:r w:rsidR="00AF6F45" w:rsidRPr="0045530E">
        <w:t>n installed</w:t>
      </w:r>
      <w:r w:rsidRPr="0045530E">
        <w:t xml:space="preserve"> non-resettable hour meter prior to the </w:t>
      </w:r>
      <w:r w:rsidR="009C35A2" w:rsidRPr="0045530E">
        <w:t>startup</w:t>
      </w:r>
      <w:r w:rsidRPr="0045530E">
        <w:t xml:space="preserve"> of the engine</w:t>
      </w:r>
      <w:r w:rsidR="00AF6F45" w:rsidRPr="0045530E">
        <w:t>. F</w:t>
      </w:r>
      <w:r w:rsidR="00CF04C8" w:rsidRPr="0045530E">
        <w:t xml:space="preserve">or </w:t>
      </w:r>
      <w:r w:rsidR="004579BB" w:rsidRPr="0045530E">
        <w:t xml:space="preserve">stationary </w:t>
      </w:r>
      <w:r w:rsidR="00AF6F45" w:rsidRPr="0045530E">
        <w:t>engines</w:t>
      </w:r>
      <w:r w:rsidR="00CF04C8" w:rsidRPr="0045530E">
        <w:t xml:space="preserve"> installed </w:t>
      </w:r>
      <w:r w:rsidR="00C01DE4" w:rsidRPr="0045530E">
        <w:t xml:space="preserve">before </w:t>
      </w:r>
      <w:r w:rsidR="00CF04C8" w:rsidRPr="0045530E">
        <w:t xml:space="preserve">promulgation of this regulation </w:t>
      </w:r>
      <w:r w:rsidR="00AF6F45" w:rsidRPr="0045530E">
        <w:t>a non-resettable hour meter must be installed</w:t>
      </w:r>
      <w:r w:rsidRPr="0045530E">
        <w:t xml:space="preserve"> by August 3, 2023; </w:t>
      </w:r>
    </w:p>
    <w:p w14:paraId="5796DF73" w14:textId="77777777" w:rsidR="00F83CC3" w:rsidRPr="0045530E" w:rsidRDefault="00F83CC3" w:rsidP="00F83CC3">
      <w:pPr>
        <w:ind w:left="960" w:hangingChars="400" w:hanging="960"/>
        <w:jc w:val="both"/>
      </w:pPr>
    </w:p>
    <w:p w14:paraId="520718EA" w14:textId="77777777" w:rsidR="00DF420E" w:rsidRDefault="00F83CC3" w:rsidP="00F83CC3">
      <w:pPr>
        <w:ind w:leftChars="900" w:left="2880" w:hangingChars="300" w:hanging="720"/>
        <w:jc w:val="both"/>
      </w:pPr>
      <w:r w:rsidRPr="0045530E">
        <w:t>(2)</w:t>
      </w:r>
      <w:r w:rsidRPr="0045530E">
        <w:tab/>
      </w:r>
      <w:r w:rsidR="00DF420E">
        <w:t>T</w:t>
      </w:r>
      <w:r w:rsidRPr="0045530E">
        <w:t xml:space="preserve">he stationary </w:t>
      </w:r>
      <w:r w:rsidR="009C35A2" w:rsidRPr="0045530E">
        <w:t>engine</w:t>
      </w:r>
      <w:r w:rsidRPr="0045530E">
        <w:t xml:space="preserve"> and </w:t>
      </w:r>
      <w:r w:rsidR="003D6101" w:rsidRPr="0045530E">
        <w:t xml:space="preserve">any </w:t>
      </w:r>
      <w:r w:rsidRPr="0045530E">
        <w:t xml:space="preserve">after-treatment </w:t>
      </w:r>
      <w:r w:rsidR="009C35A2" w:rsidRPr="0045530E">
        <w:t>control device</w:t>
      </w:r>
      <w:r w:rsidRPr="0045530E">
        <w:t xml:space="preserve"> </w:t>
      </w:r>
      <w:r w:rsidR="00DF420E">
        <w:t>shall be operated and maintained in accordance with:</w:t>
      </w:r>
    </w:p>
    <w:p w14:paraId="7553B68D" w14:textId="77777777" w:rsidR="00DF420E" w:rsidRDefault="00DF420E" w:rsidP="00F83CC3">
      <w:pPr>
        <w:ind w:leftChars="900" w:left="2880" w:hangingChars="300" w:hanging="720"/>
        <w:jc w:val="both"/>
      </w:pPr>
    </w:p>
    <w:p w14:paraId="278F2E7E" w14:textId="77777777" w:rsidR="00DF420E" w:rsidRDefault="00F83CC3" w:rsidP="00170A35">
      <w:pPr>
        <w:pStyle w:val="ListParagraph"/>
        <w:numPr>
          <w:ilvl w:val="0"/>
          <w:numId w:val="23"/>
        </w:numPr>
        <w:ind w:left="3600" w:hanging="720"/>
        <w:jc w:val="both"/>
      </w:pPr>
      <w:r w:rsidRPr="0045530E">
        <w:t>the manufacturer's emission-related written instructions</w:t>
      </w:r>
      <w:r w:rsidR="00DF420E">
        <w:t>:</w:t>
      </w:r>
      <w:r w:rsidRPr="0045530E">
        <w:t xml:space="preserve"> or</w:t>
      </w:r>
      <w:r w:rsidR="00DF420E">
        <w:t>,</w:t>
      </w:r>
      <w:r w:rsidRPr="0045530E">
        <w:t xml:space="preserve"> </w:t>
      </w:r>
    </w:p>
    <w:p w14:paraId="3AF76793" w14:textId="77777777" w:rsidR="00DF420E" w:rsidRDefault="00DF420E" w:rsidP="00170A35">
      <w:pPr>
        <w:pStyle w:val="ListParagraph"/>
        <w:ind w:left="3600"/>
        <w:jc w:val="both"/>
      </w:pPr>
    </w:p>
    <w:p w14:paraId="404D3709" w14:textId="77777777" w:rsidR="00F83CC3" w:rsidRPr="0045530E" w:rsidRDefault="00DF420E" w:rsidP="003D72EF">
      <w:pPr>
        <w:pStyle w:val="ListParagraph"/>
        <w:numPr>
          <w:ilvl w:val="0"/>
          <w:numId w:val="23"/>
        </w:numPr>
        <w:spacing w:after="0"/>
        <w:ind w:left="3600" w:hanging="720"/>
        <w:jc w:val="both"/>
      </w:pPr>
      <w:r>
        <w:t xml:space="preserve">a self-developed </w:t>
      </w:r>
      <w:r w:rsidR="00F83CC3" w:rsidRPr="0045530E">
        <w:t xml:space="preserve">maintenance plan </w:t>
      </w:r>
      <w:r>
        <w:t xml:space="preserve">that, </w:t>
      </w:r>
      <w:r w:rsidR="00F83CC3" w:rsidRPr="0045530E">
        <w:t>to the extent practicable</w:t>
      </w:r>
      <w:r>
        <w:t>,</w:t>
      </w:r>
      <w:r w:rsidR="00F83CC3" w:rsidRPr="0045530E">
        <w:t xml:space="preserve"> </w:t>
      </w:r>
      <w:r>
        <w:t xml:space="preserve">is </w:t>
      </w:r>
      <w:r w:rsidR="00F83CC3" w:rsidRPr="0045530E">
        <w:t xml:space="preserve">consistent with good air pollution control practice for minimizing emissions; </w:t>
      </w:r>
      <w:r>
        <w:t>and</w:t>
      </w:r>
    </w:p>
    <w:p w14:paraId="6D453CCB" w14:textId="77777777" w:rsidR="00F83CC3" w:rsidRPr="0045530E" w:rsidRDefault="00F83CC3" w:rsidP="00382C5F">
      <w:pPr>
        <w:ind w:left="960" w:hangingChars="400" w:hanging="960"/>
        <w:jc w:val="right"/>
      </w:pPr>
    </w:p>
    <w:p w14:paraId="143A2080" w14:textId="77777777" w:rsidR="0077043E" w:rsidRPr="0045530E" w:rsidRDefault="00F83CC3" w:rsidP="0077043E">
      <w:pPr>
        <w:ind w:leftChars="900" w:left="2880" w:hangingChars="300" w:hanging="720"/>
        <w:jc w:val="both"/>
      </w:pPr>
      <w:r w:rsidRPr="0045530E">
        <w:t>(3)</w:t>
      </w:r>
      <w:r w:rsidRPr="0045530E">
        <w:tab/>
      </w:r>
      <w:r w:rsidR="004579BB" w:rsidRPr="0045530E">
        <w:t>Any person operating an</w:t>
      </w:r>
      <w:r w:rsidRPr="0045530E">
        <w:t xml:space="preserve"> </w:t>
      </w:r>
      <w:r w:rsidR="009C35A2" w:rsidRPr="0045530E">
        <w:t>existing</w:t>
      </w:r>
      <w:r w:rsidRPr="0045530E">
        <w:t xml:space="preserve"> </w:t>
      </w:r>
      <w:r w:rsidR="0077043E" w:rsidRPr="0045530E">
        <w:t>non-black start compression ignition</w:t>
      </w:r>
      <w:r w:rsidRPr="0045530E">
        <w:t xml:space="preserve"> engine</w:t>
      </w:r>
      <w:r w:rsidR="0077043E" w:rsidRPr="0045530E">
        <w:t xml:space="preserve"> greater than or equal to 300 horsepower</w:t>
      </w:r>
      <w:r w:rsidRPr="0045530E">
        <w:t xml:space="preserve"> that is not equipped with a closed crankcase ventilation system</w:t>
      </w:r>
      <w:r w:rsidR="0077043E" w:rsidRPr="0045530E">
        <w:t xml:space="preserve"> </w:t>
      </w:r>
      <w:r w:rsidR="004579BB" w:rsidRPr="0045530E">
        <w:t>shall</w:t>
      </w:r>
      <w:r w:rsidR="0077043E" w:rsidRPr="0045530E">
        <w:t xml:space="preserve">: </w:t>
      </w:r>
      <w:r w:rsidRPr="0045530E">
        <w:t xml:space="preserve"> </w:t>
      </w:r>
    </w:p>
    <w:p w14:paraId="14FD7F95" w14:textId="77777777" w:rsidR="0077043E" w:rsidRPr="0045530E" w:rsidRDefault="0077043E" w:rsidP="0077043E">
      <w:pPr>
        <w:ind w:left="960" w:hangingChars="400" w:hanging="960"/>
        <w:jc w:val="both"/>
      </w:pPr>
    </w:p>
    <w:p w14:paraId="5C1429A1" w14:textId="66BA7A62" w:rsidR="0077043E" w:rsidRPr="0045530E" w:rsidRDefault="0077043E" w:rsidP="00AA1174">
      <w:pPr>
        <w:ind w:leftChars="1197" w:left="3593" w:hangingChars="300" w:hanging="720"/>
        <w:jc w:val="both"/>
      </w:pPr>
      <w:r w:rsidRPr="0045530E">
        <w:t>(</w:t>
      </w:r>
      <w:r w:rsidR="00382C5F">
        <w:t>A</w:t>
      </w:r>
      <w:r w:rsidRPr="0045530E">
        <w:t>)</w:t>
      </w:r>
      <w:r w:rsidRPr="0045530E">
        <w:tab/>
        <w:t xml:space="preserve">Follow the manufacturer's specified maintenance </w:t>
      </w:r>
      <w:r w:rsidR="009C35A2" w:rsidRPr="0045530E">
        <w:t>requirements</w:t>
      </w:r>
      <w:r w:rsidRPr="0045530E">
        <w:t xml:space="preserve"> for operating and maintaining the open or closed crankcase ventilation systems and replacing the crankcase filters; and </w:t>
      </w:r>
    </w:p>
    <w:p w14:paraId="0C8DEFAA" w14:textId="77777777" w:rsidR="0077043E" w:rsidRPr="0045530E" w:rsidRDefault="0077043E" w:rsidP="00AA1174">
      <w:pPr>
        <w:ind w:left="960" w:hangingChars="400" w:hanging="960"/>
        <w:jc w:val="both"/>
      </w:pPr>
    </w:p>
    <w:p w14:paraId="3C300EFF" w14:textId="67155705" w:rsidR="0077043E" w:rsidRPr="0045530E" w:rsidRDefault="0077043E" w:rsidP="00AA1174">
      <w:pPr>
        <w:ind w:leftChars="1198" w:left="3595" w:hangingChars="300" w:hanging="720"/>
        <w:jc w:val="both"/>
      </w:pPr>
      <w:r w:rsidRPr="0045530E">
        <w:t>(</w:t>
      </w:r>
      <w:r w:rsidR="00382C5F">
        <w:t>B</w:t>
      </w:r>
      <w:r w:rsidRPr="0045530E">
        <w:t>)</w:t>
      </w:r>
      <w:r w:rsidRPr="0045530E">
        <w:tab/>
      </w:r>
      <w:r w:rsidR="009C35A2" w:rsidRPr="0045530E">
        <w:t>I</w:t>
      </w:r>
      <w:r w:rsidRPr="0045530E">
        <w:t xml:space="preserve">nstall a closed crankcase ventilation system that prevents crankcase emissions from being emitted to the atmosphere, or install an open crankcase filtration emission control system that reduces emissions from the crankcase by </w:t>
      </w:r>
      <w:r w:rsidR="009C35A2" w:rsidRPr="0045530E">
        <w:t>filtering</w:t>
      </w:r>
      <w:r w:rsidRPr="0045530E">
        <w:t xml:space="preserve"> the exhaust stream to remove oil mist, particulates and metals; and</w:t>
      </w:r>
    </w:p>
    <w:p w14:paraId="1ABC15FE" w14:textId="77777777" w:rsidR="00F83CC3" w:rsidRPr="0045530E" w:rsidRDefault="00F83CC3" w:rsidP="00AA1174">
      <w:pPr>
        <w:jc w:val="both"/>
      </w:pPr>
    </w:p>
    <w:p w14:paraId="3CA48472" w14:textId="77777777" w:rsidR="00131E2D" w:rsidRPr="0045530E" w:rsidRDefault="0077043E" w:rsidP="00AA1174">
      <w:pPr>
        <w:ind w:leftChars="900" w:left="2880" w:hangingChars="300" w:hanging="720"/>
        <w:jc w:val="both"/>
      </w:pPr>
      <w:r w:rsidRPr="0045530E">
        <w:t>(4</w:t>
      </w:r>
      <w:r w:rsidR="00F83CC3" w:rsidRPr="0045530E">
        <w:t>)</w:t>
      </w:r>
      <w:r w:rsidR="00F83CC3" w:rsidRPr="0045530E">
        <w:tab/>
      </w:r>
      <w:r w:rsidR="00DF420E">
        <w:t>T</w:t>
      </w:r>
      <w:r w:rsidR="005146A1" w:rsidRPr="0045530E">
        <w:t xml:space="preserve">he following maintenance tasks </w:t>
      </w:r>
      <w:r w:rsidR="00DF420E">
        <w:t xml:space="preserve">must be performed </w:t>
      </w:r>
      <w:r w:rsidR="005146A1" w:rsidRPr="0045530E">
        <w:t>in accordance with manufacturer’s recommended schedules</w:t>
      </w:r>
      <w:r w:rsidR="00241EB9" w:rsidRPr="0045530E">
        <w:t>,</w:t>
      </w:r>
      <w:r w:rsidR="005146A1" w:rsidRPr="0045530E">
        <w:t xml:space="preserve"> or in accordance with the requirements of 40 CFR </w:t>
      </w:r>
      <w:r w:rsidR="00DF420E">
        <w:t xml:space="preserve">Part </w:t>
      </w:r>
      <w:r w:rsidR="005146A1" w:rsidRPr="0045530E">
        <w:t>63, Subpart ZZZZ, whichever is more frequent:</w:t>
      </w:r>
    </w:p>
    <w:p w14:paraId="0E79D4B8" w14:textId="77777777" w:rsidR="005146A1" w:rsidRPr="0045530E" w:rsidRDefault="005146A1" w:rsidP="00AA1174">
      <w:pPr>
        <w:ind w:leftChars="900" w:left="2880" w:hangingChars="300" w:hanging="720"/>
        <w:jc w:val="both"/>
      </w:pPr>
    </w:p>
    <w:p w14:paraId="72E25F5F" w14:textId="38B846B7" w:rsidR="005146A1" w:rsidRPr="0045530E" w:rsidRDefault="005146A1" w:rsidP="00AA1174">
      <w:pPr>
        <w:ind w:leftChars="1200" w:left="3600" w:hangingChars="300" w:hanging="720"/>
        <w:jc w:val="both"/>
      </w:pPr>
      <w:r w:rsidRPr="0045530E">
        <w:t>(</w:t>
      </w:r>
      <w:r w:rsidR="00C2760F">
        <w:t>A</w:t>
      </w:r>
      <w:r w:rsidRPr="0045530E">
        <w:t>)</w:t>
      </w:r>
      <w:r w:rsidRPr="0045530E">
        <w:tab/>
        <w:t>Change oil and filter;</w:t>
      </w:r>
    </w:p>
    <w:p w14:paraId="7171B91E" w14:textId="77777777" w:rsidR="005146A1" w:rsidRPr="0045530E" w:rsidRDefault="005146A1" w:rsidP="00AA1174">
      <w:pPr>
        <w:ind w:leftChars="1200" w:left="3600" w:hangingChars="300" w:hanging="720"/>
        <w:jc w:val="both"/>
      </w:pPr>
    </w:p>
    <w:p w14:paraId="32D7AC9C" w14:textId="107DA38A" w:rsidR="005146A1" w:rsidRPr="0045530E" w:rsidRDefault="005146A1" w:rsidP="00AA1174">
      <w:pPr>
        <w:ind w:leftChars="1200" w:left="3600" w:hangingChars="300" w:hanging="720"/>
        <w:jc w:val="both"/>
      </w:pPr>
      <w:r w:rsidRPr="0045530E">
        <w:t>(</w:t>
      </w:r>
      <w:r w:rsidR="00C2760F">
        <w:t>B</w:t>
      </w:r>
      <w:r w:rsidRPr="0045530E">
        <w:t>)</w:t>
      </w:r>
      <w:r w:rsidRPr="0045530E">
        <w:tab/>
        <w:t xml:space="preserve">For compression ignition </w:t>
      </w:r>
      <w:r w:rsidR="00AF6F45" w:rsidRPr="0045530E">
        <w:t>engine</w:t>
      </w:r>
      <w:r w:rsidRPr="0045530E">
        <w:t>s, inspect the air cleaner;</w:t>
      </w:r>
    </w:p>
    <w:p w14:paraId="1705A821" w14:textId="77777777" w:rsidR="005146A1" w:rsidRPr="0045530E" w:rsidRDefault="005146A1" w:rsidP="00AA1174">
      <w:pPr>
        <w:ind w:leftChars="1200" w:left="3600" w:hangingChars="300" w:hanging="720"/>
        <w:jc w:val="both"/>
      </w:pPr>
    </w:p>
    <w:p w14:paraId="4F0FAA17" w14:textId="3C3903C0" w:rsidR="005146A1" w:rsidRPr="0045530E" w:rsidRDefault="005146A1" w:rsidP="00AA1174">
      <w:pPr>
        <w:ind w:leftChars="1200" w:left="3600" w:hangingChars="300" w:hanging="720"/>
        <w:jc w:val="both"/>
      </w:pPr>
      <w:r w:rsidRPr="0045530E">
        <w:t>(</w:t>
      </w:r>
      <w:r w:rsidR="00C2760F">
        <w:t>C</w:t>
      </w:r>
      <w:r w:rsidRPr="0045530E">
        <w:t>)</w:t>
      </w:r>
      <w:r w:rsidRPr="0045530E">
        <w:tab/>
        <w:t>For spark ignition engines, inspect the spark plugs; and</w:t>
      </w:r>
    </w:p>
    <w:p w14:paraId="26FD25B9" w14:textId="77777777" w:rsidR="005146A1" w:rsidRPr="0045530E" w:rsidRDefault="005146A1" w:rsidP="00AA1174">
      <w:pPr>
        <w:ind w:leftChars="1200" w:left="3600" w:hangingChars="300" w:hanging="720"/>
        <w:jc w:val="both"/>
      </w:pPr>
    </w:p>
    <w:p w14:paraId="589CFD3A" w14:textId="7251A3C7" w:rsidR="005146A1" w:rsidRPr="0045530E" w:rsidRDefault="005146A1" w:rsidP="00AA1174">
      <w:pPr>
        <w:ind w:leftChars="1200" w:left="3600" w:hangingChars="300" w:hanging="720"/>
        <w:jc w:val="both"/>
      </w:pPr>
      <w:r w:rsidRPr="0045530E">
        <w:t>(</w:t>
      </w:r>
      <w:r w:rsidR="00C2760F">
        <w:t>D</w:t>
      </w:r>
      <w:r w:rsidRPr="0045530E">
        <w:t>)</w:t>
      </w:r>
      <w:r w:rsidRPr="0045530E">
        <w:tab/>
        <w:t>Inspect all hoses and belts.</w:t>
      </w:r>
    </w:p>
    <w:p w14:paraId="19AB7DCD" w14:textId="77777777" w:rsidR="00B2332B" w:rsidRPr="0045530E" w:rsidRDefault="00B2332B" w:rsidP="00B2332B">
      <w:pPr>
        <w:ind w:leftChars="600" w:left="2160" w:hangingChars="300" w:hanging="720"/>
        <w:jc w:val="both"/>
      </w:pPr>
    </w:p>
    <w:p w14:paraId="6305F23E" w14:textId="77777777" w:rsidR="006744CC" w:rsidRPr="0045530E" w:rsidRDefault="00B2332B" w:rsidP="006744CC">
      <w:pPr>
        <w:ind w:leftChars="600" w:left="2160" w:hangingChars="300" w:hanging="720"/>
        <w:jc w:val="both"/>
      </w:pPr>
      <w:r w:rsidRPr="0045530E">
        <w:t>(d)</w:t>
      </w:r>
      <w:r w:rsidRPr="0045530E">
        <w:tab/>
        <w:t xml:space="preserve">Any person </w:t>
      </w:r>
      <w:r w:rsidR="00D667C6" w:rsidRPr="0045530E">
        <w:t>subject to</w:t>
      </w:r>
      <w:r w:rsidRPr="0045530E">
        <w:t xml:space="preserve"> § 805.</w:t>
      </w:r>
      <w:r w:rsidR="00131E2D" w:rsidRPr="0045530E">
        <w:t>7</w:t>
      </w:r>
      <w:r w:rsidR="00E66859" w:rsidRPr="0045530E">
        <w:t xml:space="preserve"> shall maintain continuous compliance and </w:t>
      </w:r>
      <w:r w:rsidR="009B0078" w:rsidRPr="0045530E">
        <w:t xml:space="preserve">demonstrate </w:t>
      </w:r>
      <w:r w:rsidR="00E66859" w:rsidRPr="0045530E">
        <w:t xml:space="preserve">compliance </w:t>
      </w:r>
      <w:r w:rsidR="00404153" w:rsidRPr="0045530E">
        <w:t>by</w:t>
      </w:r>
      <w:r w:rsidR="00991218" w:rsidRPr="0045530E">
        <w:t xml:space="preserve"> record</w:t>
      </w:r>
      <w:r w:rsidR="00BE432B" w:rsidRPr="0045530E">
        <w:t xml:space="preserve"> </w:t>
      </w:r>
      <w:r w:rsidR="00991218" w:rsidRPr="0045530E">
        <w:t>keeping</w:t>
      </w:r>
      <w:r w:rsidR="004F07C5">
        <w:t xml:space="preserve"> in </w:t>
      </w:r>
      <w:r w:rsidR="004F07C5" w:rsidRPr="0045530E">
        <w:t>§ 805.</w:t>
      </w:r>
      <w:r w:rsidR="004F07C5">
        <w:t>11</w:t>
      </w:r>
      <w:r w:rsidR="00BE432B" w:rsidRPr="0045530E">
        <w:t xml:space="preserve"> </w:t>
      </w:r>
      <w:r w:rsidR="00991218" w:rsidRPr="0045530E">
        <w:t>and</w:t>
      </w:r>
      <w:r w:rsidR="006744CC" w:rsidRPr="0045530E">
        <w:t xml:space="preserve">: </w:t>
      </w:r>
    </w:p>
    <w:p w14:paraId="762B2D61" w14:textId="77777777" w:rsidR="006744CC" w:rsidRPr="0045530E" w:rsidRDefault="006744CC" w:rsidP="006744CC">
      <w:pPr>
        <w:ind w:left="960" w:hangingChars="400" w:hanging="960"/>
        <w:jc w:val="both"/>
      </w:pPr>
    </w:p>
    <w:p w14:paraId="7178E1EA" w14:textId="77777777" w:rsidR="006744CC" w:rsidRPr="0045530E" w:rsidRDefault="006744CC" w:rsidP="006744CC">
      <w:pPr>
        <w:ind w:leftChars="900" w:left="2880" w:hangingChars="300" w:hanging="720"/>
        <w:jc w:val="both"/>
      </w:pPr>
      <w:r w:rsidRPr="0045530E">
        <w:t>(1)</w:t>
      </w:r>
      <w:r w:rsidRPr="0045530E">
        <w:tab/>
        <w:t xml:space="preserve">For engines seven </w:t>
      </w:r>
      <w:r w:rsidR="00977D84" w:rsidRPr="0045530E">
        <w:t xml:space="preserve">(7) </w:t>
      </w:r>
      <w:r w:rsidR="00991218" w:rsidRPr="0045530E">
        <w:t xml:space="preserve">model </w:t>
      </w:r>
      <w:r w:rsidRPr="0045530E">
        <w:t xml:space="preserve">years old </w:t>
      </w:r>
      <w:r w:rsidR="00991218" w:rsidRPr="0045530E">
        <w:t>or</w:t>
      </w:r>
      <w:r w:rsidRPr="0045530E">
        <w:t xml:space="preserve"> less</w:t>
      </w:r>
      <w:r w:rsidR="002C6D87" w:rsidRPr="0045530E">
        <w:t xml:space="preserve"> </w:t>
      </w:r>
      <w:r w:rsidR="00991218" w:rsidRPr="0045530E">
        <w:t xml:space="preserve">and </w:t>
      </w:r>
      <w:r w:rsidR="002C6D87" w:rsidRPr="0045530E">
        <w:t>for which a manufacturer’s certification is available</w:t>
      </w:r>
      <w:r w:rsidRPr="0045530E">
        <w:t>,</w:t>
      </w:r>
      <w:r w:rsidR="002C6D87" w:rsidRPr="0045530E">
        <w:t xml:space="preserve"> </w:t>
      </w:r>
      <w:r w:rsidR="009B0078" w:rsidRPr="0045530E">
        <w:t xml:space="preserve">maintaining documentation </w:t>
      </w:r>
      <w:r w:rsidR="002C6D87" w:rsidRPr="0045530E">
        <w:t>that the manufacturer</w:t>
      </w:r>
      <w:r w:rsidR="00991218" w:rsidRPr="0045530E">
        <w:t xml:space="preserve"> has </w:t>
      </w:r>
      <w:r w:rsidR="002C6D87" w:rsidRPr="0045530E">
        <w:t>certifi</w:t>
      </w:r>
      <w:r w:rsidR="00991218" w:rsidRPr="0045530E">
        <w:t xml:space="preserve">ed that the engine </w:t>
      </w:r>
      <w:r w:rsidR="002C6D87" w:rsidRPr="0045530E">
        <w:t>will meet the emissions limits</w:t>
      </w:r>
      <w:r w:rsidR="00991218" w:rsidRPr="0045530E">
        <w:t xml:space="preserve"> specified</w:t>
      </w:r>
      <w:r w:rsidR="002C6D87" w:rsidRPr="0045530E">
        <w:t xml:space="preserve"> in</w:t>
      </w:r>
      <w:r w:rsidR="00977D84" w:rsidRPr="0045530E">
        <w:t xml:space="preserve"> §</w:t>
      </w:r>
      <w:r w:rsidR="002C6D87" w:rsidRPr="0045530E">
        <w:t xml:space="preserve"> 805.7 (a); </w:t>
      </w:r>
      <w:r w:rsidR="00F91D3F" w:rsidRPr="0045530E">
        <w:t>or</w:t>
      </w:r>
    </w:p>
    <w:p w14:paraId="457FBBA1" w14:textId="77777777" w:rsidR="006744CC" w:rsidRPr="0045530E" w:rsidRDefault="006744CC" w:rsidP="006744CC">
      <w:pPr>
        <w:ind w:leftChars="600" w:left="2160" w:hangingChars="300" w:hanging="720"/>
        <w:jc w:val="both"/>
      </w:pPr>
    </w:p>
    <w:p w14:paraId="504DDF70" w14:textId="2155054B" w:rsidR="006744CC" w:rsidRPr="0045530E" w:rsidRDefault="006744CC" w:rsidP="004579BB">
      <w:pPr>
        <w:ind w:leftChars="900" w:left="2880" w:hangingChars="300" w:hanging="720"/>
        <w:jc w:val="both"/>
      </w:pPr>
      <w:r w:rsidRPr="0045530E">
        <w:t>(2)</w:t>
      </w:r>
      <w:r w:rsidRPr="0045530E">
        <w:tab/>
        <w:t xml:space="preserve">For </w:t>
      </w:r>
      <w:r w:rsidR="002C6D87" w:rsidRPr="0045530E">
        <w:t xml:space="preserve">all </w:t>
      </w:r>
      <w:r w:rsidR="00417F68" w:rsidRPr="0045530E">
        <w:t xml:space="preserve">engines older than seven </w:t>
      </w:r>
      <w:r w:rsidR="00977D84" w:rsidRPr="0045530E">
        <w:t xml:space="preserve">(7) </w:t>
      </w:r>
      <w:r w:rsidR="00417F68" w:rsidRPr="0045530E">
        <w:t>model years</w:t>
      </w:r>
      <w:r w:rsidR="004579BB" w:rsidRPr="0045530E">
        <w:t xml:space="preserve"> or</w:t>
      </w:r>
      <w:r w:rsidR="00417F68" w:rsidRPr="0045530E">
        <w:t xml:space="preserve"> </w:t>
      </w:r>
      <w:r w:rsidR="00F61B7C" w:rsidRPr="0045530E">
        <w:t>any</w:t>
      </w:r>
      <w:r w:rsidR="00417F68" w:rsidRPr="0045530E">
        <w:t xml:space="preserve"> engine without </w:t>
      </w:r>
      <w:r w:rsidR="00F61B7C" w:rsidRPr="0045530E">
        <w:t xml:space="preserve">a </w:t>
      </w:r>
      <w:r w:rsidR="00417F68" w:rsidRPr="0045530E">
        <w:t>manufacturer’s certification</w:t>
      </w:r>
      <w:r w:rsidR="00F61B7C" w:rsidRPr="0045530E">
        <w:t xml:space="preserve"> that</w:t>
      </w:r>
      <w:r w:rsidR="00417F68" w:rsidRPr="0045530E">
        <w:t xml:space="preserve"> meet</w:t>
      </w:r>
      <w:r w:rsidR="00F61B7C" w:rsidRPr="0045530E">
        <w:t>s</w:t>
      </w:r>
      <w:r w:rsidR="00417F68" w:rsidRPr="0045530E">
        <w:t xml:space="preserve"> the requirements of § 805.7(d)(1)</w:t>
      </w:r>
      <w:r w:rsidR="00F61B7C" w:rsidRPr="0045530E">
        <w:t>,</w:t>
      </w:r>
      <w:r w:rsidRPr="0045530E">
        <w:t xml:space="preserve"> testing as specified in § 805.10(</w:t>
      </w:r>
      <w:r w:rsidR="00DF3E38" w:rsidRPr="0045530E">
        <w:t>a</w:t>
      </w:r>
      <w:r w:rsidRPr="0045530E">
        <w:t>)</w:t>
      </w:r>
      <w:r w:rsidR="00DF3E38" w:rsidRPr="0045530E">
        <w:t>(2)</w:t>
      </w:r>
      <w:r w:rsidR="009B0078" w:rsidRPr="0045530E">
        <w:t>, with the first test being required during the first year that</w:t>
      </w:r>
      <w:r w:rsidR="00027FDE" w:rsidRPr="0045530E">
        <w:t xml:space="preserve"> this requirement is applicable to the engine</w:t>
      </w:r>
      <w:r w:rsidR="00BE432B" w:rsidRPr="0045530E">
        <w:t>, and record keeping as specified in § 805.11.</w:t>
      </w:r>
      <w:r w:rsidR="004579BB" w:rsidRPr="0045530E">
        <w:t xml:space="preserve">  Tests</w:t>
      </w:r>
      <w:r w:rsidR="009B0078" w:rsidRPr="0045530E">
        <w:t xml:space="preserve"> shall be</w:t>
      </w:r>
      <w:r w:rsidRPr="0045530E">
        <w:t xml:space="preserve"> conducted at </w:t>
      </w:r>
      <w:r w:rsidR="00262C52" w:rsidRPr="0045530E">
        <w:t>the</w:t>
      </w:r>
      <w:r w:rsidRPr="0045530E">
        <w:t xml:space="preserve"> highest achievable steady-state load, </w:t>
      </w:r>
      <w:r w:rsidR="00262C52" w:rsidRPr="0045530E">
        <w:t xml:space="preserve">which may require use of a load bank, </w:t>
      </w:r>
      <w:r w:rsidRPr="0045530E">
        <w:t>but without creating an unsafe condition.</w:t>
      </w:r>
    </w:p>
    <w:p w14:paraId="56819E42" w14:textId="77777777" w:rsidR="00B2332B" w:rsidRPr="0045530E" w:rsidRDefault="00B2332B" w:rsidP="00262C52">
      <w:pPr>
        <w:ind w:leftChars="600" w:left="1440" w:firstLine="720"/>
        <w:jc w:val="both"/>
      </w:pPr>
    </w:p>
    <w:p w14:paraId="45A12A42" w14:textId="55B8D846" w:rsidR="00B2332B" w:rsidRPr="0045530E" w:rsidRDefault="00F43730" w:rsidP="00B2332B">
      <w:pPr>
        <w:ind w:left="1440" w:hangingChars="600" w:hanging="1440"/>
        <w:jc w:val="both"/>
      </w:pPr>
      <w:r w:rsidRPr="0045530E">
        <w:t>805.8</w:t>
      </w:r>
      <w:r w:rsidR="00B2332B" w:rsidRPr="0045530E">
        <w:tab/>
      </w:r>
      <w:r w:rsidR="00C8055F" w:rsidRPr="0045530E">
        <w:rPr>
          <w:i/>
        </w:rPr>
        <w:t xml:space="preserve">Other equipment.  </w:t>
      </w:r>
      <w:r w:rsidR="00B2332B" w:rsidRPr="0045530E">
        <w:t>Any person owning, leasing, operating or controlling any major stationary source or part of a major stationary source subject to § 805, other than those particular types of emitting units addressed by §</w:t>
      </w:r>
      <w:r w:rsidR="00100AA3" w:rsidRPr="0045530E">
        <w:t xml:space="preserve">§ </w:t>
      </w:r>
      <w:r w:rsidR="00B2332B" w:rsidRPr="0045530E">
        <w:t>805.4 through 805.</w:t>
      </w:r>
      <w:r w:rsidR="00EB23A2" w:rsidRPr="0045530E">
        <w:t>7</w:t>
      </w:r>
      <w:r w:rsidR="00B2332B" w:rsidRPr="0045530E">
        <w:t>, shall:</w:t>
      </w:r>
    </w:p>
    <w:p w14:paraId="52DF0F7A" w14:textId="77777777" w:rsidR="00B2332B" w:rsidRPr="0045530E" w:rsidRDefault="00B2332B" w:rsidP="00F23909">
      <w:pPr>
        <w:ind w:leftChars="600" w:left="2160" w:hangingChars="300" w:hanging="720"/>
        <w:jc w:val="both"/>
      </w:pPr>
    </w:p>
    <w:p w14:paraId="52618B91" w14:textId="77777777" w:rsidR="00EB23A2" w:rsidRPr="0045530E" w:rsidRDefault="00EB23A2" w:rsidP="00262C52">
      <w:pPr>
        <w:ind w:leftChars="600" w:left="2160" w:hangingChars="300" w:hanging="720"/>
        <w:jc w:val="both"/>
      </w:pPr>
      <w:r w:rsidRPr="0045530E">
        <w:t>(a)</w:t>
      </w:r>
      <w:r w:rsidRPr="0045530E">
        <w:tab/>
        <w:t xml:space="preserve">Apply to the Department for an emission limitation, </w:t>
      </w:r>
      <w:r w:rsidR="004579BB" w:rsidRPr="0045530E">
        <w:t>through implementation of alternative</w:t>
      </w:r>
      <w:r w:rsidRPr="0045530E">
        <w:t xml:space="preserve"> RACT, </w:t>
      </w:r>
      <w:r w:rsidR="007E14C2" w:rsidRPr="0045530E">
        <w:t>as specified in § 805.2;</w:t>
      </w:r>
    </w:p>
    <w:p w14:paraId="03342820" w14:textId="77777777" w:rsidR="00B2332B" w:rsidRPr="0045530E" w:rsidRDefault="00B2332B" w:rsidP="00B2332B">
      <w:pPr>
        <w:ind w:leftChars="600" w:left="2160" w:hangingChars="300" w:hanging="720"/>
        <w:jc w:val="both"/>
      </w:pPr>
    </w:p>
    <w:p w14:paraId="02F3FD10" w14:textId="77777777" w:rsidR="00B2332B" w:rsidRDefault="004E67CA" w:rsidP="00170A35">
      <w:pPr>
        <w:pStyle w:val="ListParagraph"/>
        <w:numPr>
          <w:ilvl w:val="0"/>
          <w:numId w:val="15"/>
        </w:numPr>
        <w:jc w:val="both"/>
      </w:pPr>
      <w:r w:rsidRPr="0045530E">
        <w:t>I</w:t>
      </w:r>
      <w:r w:rsidR="00D667C6" w:rsidRPr="0045530E">
        <w:t xml:space="preserve">nstall </w:t>
      </w:r>
      <w:r w:rsidR="007840FE" w:rsidRPr="0045530E">
        <w:t xml:space="preserve">and operate </w:t>
      </w:r>
      <w:r w:rsidR="003D311E" w:rsidRPr="0045530E">
        <w:t>a</w:t>
      </w:r>
      <w:r w:rsidR="00B2332B" w:rsidRPr="0045530E">
        <w:t xml:space="preserve"> continuous emissions monitoring system</w:t>
      </w:r>
      <w:r w:rsidR="00BC28B6" w:rsidRPr="0045530E">
        <w:t xml:space="preserve"> </w:t>
      </w:r>
      <w:r w:rsidR="000E10E5" w:rsidRPr="0045530E">
        <w:t>specified</w:t>
      </w:r>
      <w:r w:rsidR="00BC28B6" w:rsidRPr="0045530E">
        <w:t xml:space="preserve"> in § </w:t>
      </w:r>
      <w:r w:rsidR="00F43730" w:rsidRPr="0045530E">
        <w:t>805.10</w:t>
      </w:r>
      <w:r w:rsidR="00BC28B6" w:rsidRPr="0045530E">
        <w:t>(</w:t>
      </w:r>
      <w:r w:rsidR="00935F6C" w:rsidRPr="0045530E">
        <w:t>a</w:t>
      </w:r>
      <w:r w:rsidR="00BC28B6" w:rsidRPr="0045530E">
        <w:t>)</w:t>
      </w:r>
      <w:r w:rsidR="008864B0" w:rsidRPr="0045530E">
        <w:t>(1)</w:t>
      </w:r>
      <w:r w:rsidR="00BC28B6" w:rsidRPr="0045530E">
        <w:t xml:space="preserve"> or </w:t>
      </w:r>
      <w:r w:rsidR="00FF6DFD" w:rsidRPr="0045530E">
        <w:t xml:space="preserve">conduct </w:t>
      </w:r>
      <w:r w:rsidR="00D667C6" w:rsidRPr="0045530E">
        <w:t>test</w:t>
      </w:r>
      <w:r w:rsidR="00FF6DFD" w:rsidRPr="0045530E">
        <w:t>ing</w:t>
      </w:r>
      <w:r w:rsidR="00D667C6" w:rsidRPr="0045530E">
        <w:t xml:space="preserve"> </w:t>
      </w:r>
      <w:r w:rsidR="00BC28B6" w:rsidRPr="0045530E">
        <w:t xml:space="preserve">as </w:t>
      </w:r>
      <w:r w:rsidR="000E10E5" w:rsidRPr="0045530E">
        <w:t xml:space="preserve">specified </w:t>
      </w:r>
      <w:r w:rsidR="00BC28B6" w:rsidRPr="0045530E">
        <w:t xml:space="preserve">in § </w:t>
      </w:r>
      <w:r w:rsidR="00F43730" w:rsidRPr="0045530E">
        <w:t>805.10</w:t>
      </w:r>
      <w:r w:rsidR="00BC28B6" w:rsidRPr="0045530E">
        <w:t>(</w:t>
      </w:r>
      <w:r w:rsidR="008864B0" w:rsidRPr="0045530E">
        <w:t>a</w:t>
      </w:r>
      <w:r w:rsidR="00935F6C" w:rsidRPr="0045530E">
        <w:t>)</w:t>
      </w:r>
      <w:r w:rsidR="008864B0" w:rsidRPr="0045530E">
        <w:t>(2)</w:t>
      </w:r>
      <w:r w:rsidRPr="0045530E">
        <w:t>, and keep records as specified in § 805.11</w:t>
      </w:r>
      <w:r w:rsidR="007840FE" w:rsidRPr="0045530E">
        <w:t>.</w:t>
      </w:r>
      <w:r w:rsidR="003D311E" w:rsidRPr="0045530E">
        <w:t xml:space="preserve">  </w:t>
      </w:r>
    </w:p>
    <w:p w14:paraId="65401372" w14:textId="77777777" w:rsidR="00100AA3" w:rsidRPr="0045530E" w:rsidRDefault="00100AA3" w:rsidP="003D72EF">
      <w:pPr>
        <w:pStyle w:val="ListParagraph"/>
        <w:spacing w:after="0"/>
        <w:ind w:left="2160"/>
        <w:jc w:val="both"/>
      </w:pPr>
    </w:p>
    <w:p w14:paraId="6636FBEF" w14:textId="77777777" w:rsidR="00B2332B" w:rsidRPr="0045530E" w:rsidRDefault="00B2332B" w:rsidP="007840FE">
      <w:pPr>
        <w:ind w:leftChars="600" w:left="2160" w:hangingChars="300" w:hanging="720"/>
        <w:jc w:val="both"/>
      </w:pPr>
      <w:r w:rsidRPr="0045530E">
        <w:t>(</w:t>
      </w:r>
      <w:r w:rsidR="00346C28" w:rsidRPr="0045530E">
        <w:t>c</w:t>
      </w:r>
      <w:r w:rsidRPr="0045530E">
        <w:t>)</w:t>
      </w:r>
      <w:r w:rsidRPr="0045530E">
        <w:tab/>
      </w:r>
      <w:r w:rsidR="00100AA3">
        <w:t xml:space="preserve">If </w:t>
      </w:r>
      <w:r w:rsidRPr="0045530E">
        <w:t xml:space="preserve">required to implement RACT, upon request of the </w:t>
      </w:r>
      <w:r w:rsidR="00004B2E" w:rsidRPr="0045530E">
        <w:t>Department</w:t>
      </w:r>
      <w:r w:rsidRPr="0045530E">
        <w:t xml:space="preserve">, perform or have performed tests to demonstrate compliance in accordance with methods approved by the </w:t>
      </w:r>
      <w:r w:rsidR="00004B2E" w:rsidRPr="0045530E">
        <w:t>Department</w:t>
      </w:r>
      <w:r w:rsidRPr="0045530E">
        <w:t xml:space="preserve"> and EPA.</w:t>
      </w:r>
    </w:p>
    <w:p w14:paraId="666BFE3A" w14:textId="77777777" w:rsidR="00B2332B" w:rsidRPr="0045530E" w:rsidRDefault="00B2332B" w:rsidP="005F08CF">
      <w:pPr>
        <w:ind w:leftChars="600" w:left="2160" w:hangingChars="300" w:hanging="720"/>
        <w:jc w:val="both"/>
      </w:pPr>
    </w:p>
    <w:p w14:paraId="5804E151" w14:textId="77777777" w:rsidR="00B2332B" w:rsidRPr="0045530E" w:rsidRDefault="00B2332B" w:rsidP="00B2332B">
      <w:pPr>
        <w:ind w:left="1440" w:hangingChars="600" w:hanging="1440"/>
        <w:jc w:val="both"/>
      </w:pPr>
      <w:r w:rsidRPr="0045530E">
        <w:t>805.</w:t>
      </w:r>
      <w:r w:rsidR="00F43730" w:rsidRPr="0045530E">
        <w:t>9</w:t>
      </w:r>
      <w:r w:rsidRPr="0045530E">
        <w:tab/>
      </w:r>
      <w:r w:rsidR="00C8055F" w:rsidRPr="0045530E">
        <w:rPr>
          <w:i/>
        </w:rPr>
        <w:t xml:space="preserve">Tuning.  </w:t>
      </w:r>
      <w:r w:rsidRPr="0045530E">
        <w:t xml:space="preserve">Any person required to </w:t>
      </w:r>
      <w:r w:rsidR="00C8055F" w:rsidRPr="0045530E">
        <w:t xml:space="preserve">tune </w:t>
      </w:r>
      <w:r w:rsidRPr="0045530E">
        <w:t>the combustion process of any major stationary source subject to the provisions of this section</w:t>
      </w:r>
      <w:r w:rsidR="00EA1BF3" w:rsidRPr="0045530E">
        <w:t xml:space="preserve">, excepting stationary </w:t>
      </w:r>
      <w:r w:rsidR="00E65A53" w:rsidRPr="0045530E">
        <w:t>engines</w:t>
      </w:r>
      <w:r w:rsidR="00EA1BF3" w:rsidRPr="0045530E">
        <w:t xml:space="preserve"> subject to § 805.7,</w:t>
      </w:r>
      <w:r w:rsidRPr="0045530E">
        <w:t xml:space="preserve"> shall do so according to the following provisions:</w:t>
      </w:r>
    </w:p>
    <w:p w14:paraId="4E44CFFE" w14:textId="77777777" w:rsidR="00B2332B" w:rsidRPr="0045530E" w:rsidRDefault="00B2332B" w:rsidP="00B2332B">
      <w:pPr>
        <w:ind w:left="960" w:hangingChars="400" w:hanging="960"/>
        <w:jc w:val="both"/>
      </w:pPr>
    </w:p>
    <w:p w14:paraId="40EC2EDF" w14:textId="410510FD" w:rsidR="00B2332B" w:rsidRPr="0045530E" w:rsidRDefault="00B2332B" w:rsidP="00B2332B">
      <w:pPr>
        <w:ind w:leftChars="600" w:left="2160" w:hangingChars="300" w:hanging="720"/>
        <w:jc w:val="both"/>
      </w:pPr>
      <w:r w:rsidRPr="0045530E">
        <w:t>(a)</w:t>
      </w:r>
      <w:r w:rsidRPr="0045530E">
        <w:tab/>
      </w:r>
      <w:r w:rsidR="009222F4">
        <w:t>Persons performing tune-ups shall</w:t>
      </w:r>
      <w:r w:rsidRPr="0045530E">
        <w:t>, at a minimum:</w:t>
      </w:r>
    </w:p>
    <w:p w14:paraId="3FCEF48F" w14:textId="77777777" w:rsidR="00B2332B" w:rsidRPr="0045530E" w:rsidRDefault="00B2332B" w:rsidP="00B2332B">
      <w:pPr>
        <w:ind w:left="960" w:hangingChars="400" w:hanging="960"/>
        <w:jc w:val="both"/>
      </w:pPr>
    </w:p>
    <w:p w14:paraId="0188D9BC" w14:textId="77777777" w:rsidR="00B2332B" w:rsidRPr="0045530E" w:rsidRDefault="00B2332B" w:rsidP="00B2332B">
      <w:pPr>
        <w:ind w:leftChars="900" w:left="2880" w:hangingChars="300" w:hanging="720"/>
        <w:jc w:val="both"/>
      </w:pPr>
      <w:r w:rsidRPr="0045530E">
        <w:t>(1)</w:t>
      </w:r>
      <w:r w:rsidRPr="0045530E">
        <w:tab/>
      </w:r>
      <w:r w:rsidR="009222F4">
        <w:t>As applicable, inspect the burner, and clean or replace any components of the burner as necessary for proper operation;</w:t>
      </w:r>
      <w:r w:rsidR="00935F6C" w:rsidRPr="0045530E">
        <w:t xml:space="preserve"> </w:t>
      </w:r>
    </w:p>
    <w:p w14:paraId="7A15B538" w14:textId="77777777" w:rsidR="00B2332B" w:rsidRPr="0045530E" w:rsidRDefault="00B2332B" w:rsidP="00B2332B">
      <w:pPr>
        <w:ind w:leftChars="900" w:left="2880" w:hangingChars="300" w:hanging="720"/>
        <w:jc w:val="both"/>
      </w:pPr>
    </w:p>
    <w:p w14:paraId="2DD620D4" w14:textId="77777777" w:rsidR="00B2332B" w:rsidRPr="0045530E" w:rsidRDefault="00B2332B" w:rsidP="00B2332B">
      <w:pPr>
        <w:ind w:leftChars="900" w:left="2880" w:hangingChars="300" w:hanging="720"/>
        <w:jc w:val="both"/>
      </w:pPr>
      <w:r w:rsidRPr="0045530E">
        <w:lastRenderedPageBreak/>
        <w:t>(2)</w:t>
      </w:r>
      <w:r w:rsidRPr="0045530E">
        <w:tab/>
      </w:r>
      <w:r w:rsidR="009222F4">
        <w:t>Inspect the flame pattern, as applicable, and adjust the burner as necessary to optimize the flame pattern. The adjustment should be consistent w</w:t>
      </w:r>
      <w:r w:rsidR="00D719CF">
        <w:t>i</w:t>
      </w:r>
      <w:r w:rsidR="009222F4">
        <w:t>th the manufacturer’s specifications, if available;</w:t>
      </w:r>
    </w:p>
    <w:p w14:paraId="0AB63139" w14:textId="77777777" w:rsidR="00B2332B" w:rsidRPr="0045530E" w:rsidRDefault="00B2332B" w:rsidP="00B2332B">
      <w:pPr>
        <w:ind w:leftChars="900" w:left="2880" w:hangingChars="300" w:hanging="720"/>
        <w:jc w:val="both"/>
      </w:pPr>
    </w:p>
    <w:p w14:paraId="0A8B00C5" w14:textId="77777777" w:rsidR="00B2332B" w:rsidRDefault="00B2332B" w:rsidP="00B2332B">
      <w:pPr>
        <w:ind w:leftChars="900" w:left="2880" w:hangingChars="300" w:hanging="720"/>
        <w:jc w:val="both"/>
      </w:pPr>
      <w:r w:rsidRPr="0045530E">
        <w:t>(3)</w:t>
      </w:r>
      <w:r w:rsidRPr="0045530E">
        <w:tab/>
      </w:r>
      <w:proofErr w:type="gramStart"/>
      <w:r w:rsidR="009222F4">
        <w:t>Inspect</w:t>
      </w:r>
      <w:proofErr w:type="gramEnd"/>
      <w:r w:rsidR="009222F4">
        <w:t xml:space="preserve"> the system controlling the air-to-fuel ratio, as applicable, and ensure that it is correctly calibrated and functioning properly;</w:t>
      </w:r>
    </w:p>
    <w:p w14:paraId="11A94DBA" w14:textId="77777777" w:rsidR="00C2760F" w:rsidRDefault="00C2760F" w:rsidP="00B2332B">
      <w:pPr>
        <w:ind w:leftChars="900" w:left="2880" w:hangingChars="300" w:hanging="720"/>
        <w:jc w:val="both"/>
      </w:pPr>
    </w:p>
    <w:p w14:paraId="271788FA" w14:textId="77777777" w:rsidR="009222F4" w:rsidRDefault="009222F4" w:rsidP="00B2332B">
      <w:pPr>
        <w:ind w:leftChars="900" w:left="2880" w:hangingChars="300" w:hanging="720"/>
        <w:jc w:val="both"/>
      </w:pPr>
      <w:r>
        <w:t>(4)</w:t>
      </w:r>
      <w:r>
        <w:tab/>
        <w:t>Optimize total emissions of NOx, and to the extent possible, CO. This optimization should be consistent with the manufacturer’s specification</w:t>
      </w:r>
      <w:r w:rsidR="00564DFC">
        <w:t>s</w:t>
      </w:r>
      <w:r>
        <w:t xml:space="preserve">, if available, and </w:t>
      </w:r>
      <w:r w:rsidR="00564DFC">
        <w:t xml:space="preserve">shall be consistent </w:t>
      </w:r>
      <w:r>
        <w:t>with any NOx and CO requirements to which the unit is subject</w:t>
      </w:r>
      <w:r w:rsidR="00564DFC">
        <w:t>;</w:t>
      </w:r>
      <w:r w:rsidR="008C6E88">
        <w:t xml:space="preserve"> and</w:t>
      </w:r>
    </w:p>
    <w:p w14:paraId="4CEE9F55" w14:textId="77777777" w:rsidR="00564DFC" w:rsidRDefault="00564DFC" w:rsidP="00B2332B">
      <w:pPr>
        <w:ind w:leftChars="900" w:left="2880" w:hangingChars="300" w:hanging="720"/>
        <w:jc w:val="both"/>
      </w:pPr>
    </w:p>
    <w:p w14:paraId="796368C6" w14:textId="77777777" w:rsidR="00564DFC" w:rsidRPr="0045530E" w:rsidRDefault="00564DFC" w:rsidP="00B2332B">
      <w:pPr>
        <w:ind w:leftChars="900" w:left="2880" w:hangingChars="300" w:hanging="720"/>
        <w:jc w:val="both"/>
      </w:pPr>
      <w:r>
        <w:t>(5)</w:t>
      </w:r>
      <w:r>
        <w:tab/>
        <w:t>Measure the concentrations in the effluent stream of CO</w:t>
      </w:r>
      <w:r w:rsidR="00426F27">
        <w:t xml:space="preserve"> and NOx</w:t>
      </w:r>
      <w:r>
        <w:t xml:space="preserve"> in ppmv</w:t>
      </w:r>
      <w:r w:rsidR="00426F27">
        <w:t>d</w:t>
      </w:r>
      <w:r>
        <w:t xml:space="preserve"> and O2 in percent</w:t>
      </w:r>
      <w:r w:rsidR="00426F27">
        <w:t xml:space="preserve"> </w:t>
      </w:r>
      <w:r w:rsidR="004417D0">
        <w:t xml:space="preserve">by volume </w:t>
      </w:r>
      <w:r w:rsidR="00426F27">
        <w:t>dry basis</w:t>
      </w:r>
      <w:r>
        <w:t>, before and after the adjustments are made. Measurements may be taken using a portable analyzer</w:t>
      </w:r>
      <w:r w:rsidR="008C6E88">
        <w:t>;</w:t>
      </w:r>
    </w:p>
    <w:p w14:paraId="75B77F85" w14:textId="77777777" w:rsidR="00B2332B" w:rsidRPr="0045530E" w:rsidRDefault="00B2332B" w:rsidP="00B2332B">
      <w:pPr>
        <w:ind w:leftChars="600" w:left="2160" w:hangingChars="300" w:hanging="720"/>
        <w:jc w:val="both"/>
      </w:pPr>
    </w:p>
    <w:p w14:paraId="1BA3FA71" w14:textId="77777777" w:rsidR="00CF55D2" w:rsidRPr="0045530E" w:rsidRDefault="00C77344" w:rsidP="002A5E0D">
      <w:pPr>
        <w:ind w:leftChars="600" w:left="2160" w:hangingChars="300" w:hanging="720"/>
        <w:jc w:val="both"/>
      </w:pPr>
      <w:r w:rsidRPr="0045530E">
        <w:t>(</w:t>
      </w:r>
      <w:r w:rsidR="004417D0">
        <w:t>b</w:t>
      </w:r>
      <w:r w:rsidRPr="0045530E">
        <w:t>)</w:t>
      </w:r>
      <w:r w:rsidRPr="0045530E">
        <w:tab/>
      </w:r>
      <w:r w:rsidR="00BC796E" w:rsidRPr="0045530E">
        <w:t>Tune-ups</w:t>
      </w:r>
      <w:r w:rsidRPr="0045530E">
        <w:t xml:space="preserve"> shall be conducted </w:t>
      </w:r>
      <w:r w:rsidR="00F61B7C" w:rsidRPr="0045530E">
        <w:t>every calendar year, not to exceed 13 months</w:t>
      </w:r>
      <w:r w:rsidR="00A839EF" w:rsidRPr="0045530E">
        <w:t xml:space="preserve"> from the date of the last </w:t>
      </w:r>
      <w:r w:rsidR="00BC796E" w:rsidRPr="0045530E">
        <w:t>tune-up</w:t>
      </w:r>
      <w:r w:rsidR="00F61B7C" w:rsidRPr="0045530E">
        <w:t xml:space="preserve">, </w:t>
      </w:r>
      <w:r w:rsidRPr="0045530E">
        <w:t xml:space="preserve">or within 30 days of start up for any unit not operating on the required date for </w:t>
      </w:r>
      <w:r w:rsidR="00BC796E" w:rsidRPr="0045530E">
        <w:t>the tune-up</w:t>
      </w:r>
      <w:r w:rsidR="00417299" w:rsidRPr="0045530E">
        <w:t xml:space="preserve">, except </w:t>
      </w:r>
      <w:r w:rsidR="000C6CAD" w:rsidRPr="0045530E">
        <w:t xml:space="preserve">in </w:t>
      </w:r>
      <w:r w:rsidR="00417299" w:rsidRPr="0045530E">
        <w:t>the following cases</w:t>
      </w:r>
      <w:r w:rsidR="00CE4FA1" w:rsidRPr="0045530E">
        <w:t>:</w:t>
      </w:r>
      <w:r w:rsidR="00CF55D2" w:rsidRPr="0045530E" w:rsidDel="00CF55D2">
        <w:t xml:space="preserve"> </w:t>
      </w:r>
    </w:p>
    <w:p w14:paraId="7CCB94E4" w14:textId="77777777" w:rsidR="00CF55D2" w:rsidRPr="0045530E" w:rsidRDefault="00CF55D2" w:rsidP="00CF55D2">
      <w:pPr>
        <w:jc w:val="both"/>
      </w:pPr>
    </w:p>
    <w:p w14:paraId="291BF8D9" w14:textId="3779AE6D" w:rsidR="00CF55D2" w:rsidRPr="0045530E" w:rsidRDefault="00CF55D2" w:rsidP="00CF55D2">
      <w:pPr>
        <w:ind w:leftChars="900" w:left="2880" w:hangingChars="300" w:hanging="720"/>
        <w:jc w:val="both"/>
      </w:pPr>
      <w:r w:rsidRPr="0045530E">
        <w:t>(1)</w:t>
      </w:r>
      <w:r w:rsidRPr="0045530E">
        <w:tab/>
      </w:r>
      <w:r w:rsidR="00BC796E" w:rsidRPr="0045530E">
        <w:t>Tune-ups</w:t>
      </w:r>
      <w:r w:rsidR="00F97B9E" w:rsidRPr="0045530E">
        <w:t xml:space="preserve"> shall be conducted every two (2) years, not to exceed twenty-five (25) months</w:t>
      </w:r>
      <w:r w:rsidR="006F163C">
        <w:t xml:space="preserve"> from the date of the last tune-up</w:t>
      </w:r>
      <w:r w:rsidR="00CE4FA1" w:rsidRPr="0045530E">
        <w:t>,</w:t>
      </w:r>
      <w:r w:rsidR="00F97B9E" w:rsidRPr="0045530E">
        <w:t xml:space="preserve"> for any fuel burning equipment of a size smaller than twenty million (20,000,000) BTU per hour, except those exempted under § 805.7 (c)(2)</w:t>
      </w:r>
      <w:r w:rsidRPr="0045530E">
        <w:t>;</w:t>
      </w:r>
      <w:r w:rsidR="00F97B9E" w:rsidRPr="0045530E">
        <w:t xml:space="preserve"> and</w:t>
      </w:r>
    </w:p>
    <w:p w14:paraId="312666CA" w14:textId="77777777" w:rsidR="00CF55D2" w:rsidRPr="0045530E" w:rsidRDefault="00CF55D2" w:rsidP="00CF55D2">
      <w:pPr>
        <w:ind w:left="960" w:hangingChars="400" w:hanging="960"/>
        <w:jc w:val="both"/>
      </w:pPr>
    </w:p>
    <w:p w14:paraId="29421193" w14:textId="6EB34454" w:rsidR="00CE4FA1" w:rsidRPr="0045530E" w:rsidRDefault="00CF55D2" w:rsidP="00CF55D2">
      <w:pPr>
        <w:ind w:leftChars="900" w:left="2880" w:hangingChars="300" w:hanging="720"/>
        <w:jc w:val="both"/>
      </w:pPr>
      <w:r w:rsidRPr="0045530E">
        <w:t>(2)</w:t>
      </w:r>
      <w:r w:rsidRPr="0045530E">
        <w:tab/>
      </w:r>
      <w:r w:rsidR="00BC796E" w:rsidRPr="0045530E">
        <w:t>Tune-ups</w:t>
      </w:r>
      <w:r w:rsidR="00F97B9E" w:rsidRPr="0045530E">
        <w:t xml:space="preserve"> may be conducted every five (5) years, not to exceed sixty-one (61) months</w:t>
      </w:r>
      <w:r w:rsidR="006F163C">
        <w:t xml:space="preserve"> from the date of the last tune-up</w:t>
      </w:r>
      <w:r w:rsidR="00100AA3">
        <w:t>,</w:t>
      </w:r>
      <w:r w:rsidR="00F97B9E" w:rsidRPr="0045530E">
        <w:t xml:space="preserve"> for the following</w:t>
      </w:r>
      <w:r w:rsidRPr="0045530E">
        <w:t xml:space="preserve">; </w:t>
      </w:r>
    </w:p>
    <w:p w14:paraId="66A90519" w14:textId="77777777" w:rsidR="00CE4FA1" w:rsidRPr="0045530E" w:rsidRDefault="00CE4FA1" w:rsidP="00CF55D2">
      <w:pPr>
        <w:ind w:leftChars="900" w:left="2880" w:hangingChars="300" w:hanging="720"/>
        <w:jc w:val="both"/>
      </w:pPr>
    </w:p>
    <w:p w14:paraId="7D3581F8" w14:textId="7A6991F3" w:rsidR="00F97B9E" w:rsidRPr="0045530E" w:rsidRDefault="00F97B9E" w:rsidP="00AA1174">
      <w:pPr>
        <w:ind w:leftChars="1200" w:left="3600" w:hangingChars="300" w:hanging="720"/>
        <w:jc w:val="both"/>
      </w:pPr>
      <w:r w:rsidRPr="0045530E">
        <w:t>(</w:t>
      </w:r>
      <w:r w:rsidR="00C2760F">
        <w:t>A</w:t>
      </w:r>
      <w:r w:rsidRPr="0045530E">
        <w:t>)</w:t>
      </w:r>
      <w:r w:rsidRPr="0045530E">
        <w:tab/>
        <w:t xml:space="preserve">Boilers with </w:t>
      </w:r>
      <w:proofErr w:type="gramStart"/>
      <w:r w:rsidRPr="0045530E">
        <w:t>an</w:t>
      </w:r>
      <w:r w:rsidR="002A045C" w:rsidRPr="0045530E">
        <w:t xml:space="preserve"> </w:t>
      </w:r>
      <w:r w:rsidRPr="0045530E">
        <w:t>oxygen</w:t>
      </w:r>
      <w:proofErr w:type="gramEnd"/>
      <w:r w:rsidRPr="0045530E">
        <w:t xml:space="preserve"> trim system that maintains an optimum air-to-fuel ratio;</w:t>
      </w:r>
    </w:p>
    <w:p w14:paraId="08C80AE5" w14:textId="77777777" w:rsidR="00F97B9E" w:rsidRPr="0045530E" w:rsidRDefault="00F97B9E" w:rsidP="00AA1174">
      <w:pPr>
        <w:ind w:leftChars="1200" w:left="3840" w:hangingChars="400" w:hanging="960"/>
        <w:jc w:val="both"/>
      </w:pPr>
    </w:p>
    <w:p w14:paraId="7D56BA25" w14:textId="3F110187" w:rsidR="00F97B9E" w:rsidRPr="0045530E" w:rsidRDefault="00F97B9E" w:rsidP="00AA1174">
      <w:pPr>
        <w:ind w:leftChars="1200" w:left="3600" w:hangingChars="300" w:hanging="720"/>
        <w:jc w:val="both"/>
      </w:pPr>
      <w:r w:rsidRPr="0045530E">
        <w:t>(</w:t>
      </w:r>
      <w:r w:rsidR="00C2760F">
        <w:t>B</w:t>
      </w:r>
      <w:r w:rsidRPr="0045530E">
        <w:t>)</w:t>
      </w:r>
      <w:r w:rsidRPr="0045530E">
        <w:tab/>
        <w:t xml:space="preserve">Seasonal boilers; </w:t>
      </w:r>
      <w:r w:rsidR="00CE4FA1" w:rsidRPr="0045530E">
        <w:t>and</w:t>
      </w:r>
    </w:p>
    <w:p w14:paraId="03301E2C" w14:textId="77777777" w:rsidR="00F97B9E" w:rsidRPr="0045530E" w:rsidRDefault="00F97B9E" w:rsidP="00AA1174">
      <w:pPr>
        <w:ind w:leftChars="1200" w:left="3840" w:hangingChars="400" w:hanging="960"/>
        <w:jc w:val="both"/>
      </w:pPr>
    </w:p>
    <w:p w14:paraId="680233DB" w14:textId="0A746140" w:rsidR="00F97B9E" w:rsidRPr="0045530E" w:rsidRDefault="00F97B9E" w:rsidP="00AA1174">
      <w:pPr>
        <w:ind w:leftChars="1200" w:left="3600" w:hangingChars="300" w:hanging="720"/>
        <w:jc w:val="both"/>
      </w:pPr>
      <w:r w:rsidRPr="0045530E">
        <w:t>(</w:t>
      </w:r>
      <w:r w:rsidR="00C2760F">
        <w:t>C</w:t>
      </w:r>
      <w:r w:rsidRPr="0045530E">
        <w:t>)</w:t>
      </w:r>
      <w:r w:rsidRPr="0045530E">
        <w:tab/>
        <w:t>Limited-use boilers;</w:t>
      </w:r>
      <w:r w:rsidR="00CE4FA1" w:rsidRPr="0045530E">
        <w:t xml:space="preserve"> and</w:t>
      </w:r>
    </w:p>
    <w:p w14:paraId="378C4967" w14:textId="77777777" w:rsidR="00B2332B" w:rsidRPr="0045530E" w:rsidRDefault="00B2332B" w:rsidP="00B2332B">
      <w:pPr>
        <w:ind w:leftChars="600" w:left="2160" w:hangingChars="300" w:hanging="720"/>
        <w:jc w:val="both"/>
      </w:pPr>
    </w:p>
    <w:p w14:paraId="1BE8D407" w14:textId="77777777" w:rsidR="00B2332B" w:rsidRPr="0045530E" w:rsidRDefault="00B2332B" w:rsidP="00B2332B">
      <w:pPr>
        <w:ind w:leftChars="600" w:left="2160" w:hangingChars="300" w:hanging="720"/>
        <w:jc w:val="both"/>
      </w:pPr>
      <w:r w:rsidRPr="0045530E">
        <w:t>(</w:t>
      </w:r>
      <w:r w:rsidR="004417D0">
        <w:t>c</w:t>
      </w:r>
      <w:r w:rsidRPr="0045530E">
        <w:t>)</w:t>
      </w:r>
      <w:r w:rsidRPr="0045530E">
        <w:tab/>
        <w:t xml:space="preserve">Any person required to </w:t>
      </w:r>
      <w:r w:rsidR="00BC796E" w:rsidRPr="0045530E">
        <w:t xml:space="preserve">tune </w:t>
      </w:r>
      <w:r w:rsidRPr="0045530E">
        <w:t xml:space="preserve">the combustion process of any major stationary source subject to this section shall maintain, in a permanently bound log book or another format approved in writing by the </w:t>
      </w:r>
      <w:r w:rsidR="00004B2E" w:rsidRPr="0045530E">
        <w:t>Department</w:t>
      </w:r>
      <w:r w:rsidRPr="0045530E">
        <w:t>, the following information:</w:t>
      </w:r>
    </w:p>
    <w:p w14:paraId="4E1AE1B1" w14:textId="77777777" w:rsidR="00B2332B" w:rsidRPr="0045530E" w:rsidRDefault="00B2332B" w:rsidP="00B2332B">
      <w:pPr>
        <w:ind w:left="960" w:hangingChars="400" w:hanging="960"/>
        <w:jc w:val="both"/>
      </w:pPr>
    </w:p>
    <w:p w14:paraId="78511246" w14:textId="77777777" w:rsidR="00B2332B" w:rsidRPr="0045530E" w:rsidRDefault="00B2332B" w:rsidP="00B2332B">
      <w:pPr>
        <w:ind w:leftChars="900" w:left="2880" w:hangingChars="300" w:hanging="720"/>
        <w:jc w:val="both"/>
      </w:pPr>
      <w:r w:rsidRPr="0045530E">
        <w:t>(1)</w:t>
      </w:r>
      <w:r w:rsidRPr="0045530E">
        <w:tab/>
        <w:t xml:space="preserve">The date on which the combustion process was last </w:t>
      </w:r>
      <w:r w:rsidR="00BC796E" w:rsidRPr="0045530E">
        <w:t>tuned-up</w:t>
      </w:r>
      <w:r w:rsidRPr="0045530E">
        <w:t>;</w:t>
      </w:r>
    </w:p>
    <w:p w14:paraId="5936F280" w14:textId="77777777" w:rsidR="00B2332B" w:rsidRPr="0045530E" w:rsidRDefault="00B2332B" w:rsidP="00B2332B">
      <w:pPr>
        <w:ind w:leftChars="900" w:left="2880" w:hangingChars="300" w:hanging="720"/>
        <w:jc w:val="both"/>
      </w:pPr>
    </w:p>
    <w:p w14:paraId="2C020812" w14:textId="77777777" w:rsidR="00B2332B" w:rsidRPr="0045530E" w:rsidRDefault="00B2332B" w:rsidP="00B2332B">
      <w:pPr>
        <w:ind w:leftChars="900" w:left="2880" w:hangingChars="300" w:hanging="720"/>
        <w:jc w:val="both"/>
      </w:pPr>
      <w:r w:rsidRPr="0045530E">
        <w:lastRenderedPageBreak/>
        <w:t>(2)</w:t>
      </w:r>
      <w:r w:rsidRPr="0045530E">
        <w:tab/>
        <w:t xml:space="preserve">The name, title, and affiliation of the person who </w:t>
      </w:r>
      <w:r w:rsidR="00BC796E" w:rsidRPr="0045530E">
        <w:t>performed the tune-up</w:t>
      </w:r>
      <w:r w:rsidRPr="0045530E">
        <w:t>;</w:t>
      </w:r>
    </w:p>
    <w:p w14:paraId="64FC5FC5" w14:textId="77777777" w:rsidR="00B2332B" w:rsidRPr="0045530E" w:rsidRDefault="00B2332B" w:rsidP="00B2332B">
      <w:pPr>
        <w:ind w:leftChars="900" w:left="2880" w:hangingChars="300" w:hanging="720"/>
        <w:jc w:val="both"/>
      </w:pPr>
    </w:p>
    <w:p w14:paraId="40F3027A" w14:textId="77777777" w:rsidR="00B2332B" w:rsidRPr="0045530E" w:rsidRDefault="00B2332B" w:rsidP="00B2332B">
      <w:pPr>
        <w:ind w:leftChars="900" w:left="2880" w:hangingChars="300" w:hanging="720"/>
        <w:jc w:val="both"/>
      </w:pPr>
      <w:r w:rsidRPr="0045530E">
        <w:t>(3)</w:t>
      </w:r>
      <w:r w:rsidRPr="0045530E">
        <w:tab/>
        <w:t>Th</w:t>
      </w:r>
      <w:r w:rsidR="004E67CA" w:rsidRPr="0045530E">
        <w:t>e</w:t>
      </w:r>
      <w:r w:rsidRPr="0045530E">
        <w:t xml:space="preserve"> NOx </w:t>
      </w:r>
      <w:r w:rsidR="00426F27">
        <w:t>concentrations in the effluent stream</w:t>
      </w:r>
      <w:r w:rsidRPr="0045530E">
        <w:t xml:space="preserve">, in ppmvd, </w:t>
      </w:r>
      <w:r w:rsidR="00426F27">
        <w:t xml:space="preserve">measured at high fire or typical operating load, before and </w:t>
      </w:r>
      <w:r w:rsidRPr="0045530E">
        <w:t xml:space="preserve">after the </w:t>
      </w:r>
      <w:r w:rsidR="00BC796E" w:rsidRPr="0045530E">
        <w:t>tune-up</w:t>
      </w:r>
      <w:r w:rsidRPr="0045530E">
        <w:t>;</w:t>
      </w:r>
    </w:p>
    <w:p w14:paraId="45B2CA1A" w14:textId="77777777" w:rsidR="00B2332B" w:rsidRPr="0045530E" w:rsidRDefault="00B2332B" w:rsidP="00B2332B">
      <w:pPr>
        <w:ind w:leftChars="900" w:left="2880" w:hangingChars="300" w:hanging="720"/>
        <w:jc w:val="both"/>
      </w:pPr>
    </w:p>
    <w:p w14:paraId="770021BB" w14:textId="77777777" w:rsidR="00B2332B" w:rsidRPr="0045530E" w:rsidRDefault="00B2332B" w:rsidP="00B2332B">
      <w:pPr>
        <w:ind w:leftChars="900" w:left="2880" w:hangingChars="300" w:hanging="720"/>
        <w:jc w:val="both"/>
      </w:pPr>
      <w:r w:rsidRPr="0045530E">
        <w:t>(4)</w:t>
      </w:r>
      <w:r w:rsidRPr="0045530E">
        <w:tab/>
        <w:t xml:space="preserve">The CO </w:t>
      </w:r>
      <w:r w:rsidR="00E22953">
        <w:t>concentrations in the effluent stream</w:t>
      </w:r>
      <w:r w:rsidR="00426F27">
        <w:t>,</w:t>
      </w:r>
      <w:r w:rsidR="00E22953">
        <w:t xml:space="preserve"> in ppmv</w:t>
      </w:r>
      <w:r w:rsidR="00426F27">
        <w:t>d</w:t>
      </w:r>
      <w:r w:rsidR="00E22953">
        <w:t>, measured at high fire or typical operating load, before and after the tune-up</w:t>
      </w:r>
      <w:r w:rsidR="00426F27">
        <w:t>;</w:t>
      </w:r>
      <w:r w:rsidR="00E22953">
        <w:t xml:space="preserve"> </w:t>
      </w:r>
    </w:p>
    <w:p w14:paraId="5B1AFE6A" w14:textId="77777777" w:rsidR="00B2332B" w:rsidRPr="0045530E" w:rsidRDefault="00B2332B" w:rsidP="00B2332B">
      <w:pPr>
        <w:ind w:leftChars="900" w:left="2880" w:hangingChars="300" w:hanging="720"/>
        <w:jc w:val="both"/>
      </w:pPr>
    </w:p>
    <w:p w14:paraId="359F0F89" w14:textId="77777777" w:rsidR="00B2332B" w:rsidRPr="0045530E" w:rsidRDefault="00B2332B" w:rsidP="00B2332B">
      <w:pPr>
        <w:ind w:leftChars="900" w:left="2880" w:hangingChars="300" w:hanging="720"/>
        <w:jc w:val="both"/>
      </w:pPr>
      <w:r w:rsidRPr="0045530E">
        <w:t>(5)</w:t>
      </w:r>
      <w:r w:rsidRPr="0045530E">
        <w:tab/>
        <w:t>The CO2 concentration</w:t>
      </w:r>
      <w:r w:rsidR="00426F27">
        <w:t>s in the effluent stream</w:t>
      </w:r>
      <w:r w:rsidRPr="0045530E">
        <w:t xml:space="preserve">, in percent by volume dry basis, </w:t>
      </w:r>
      <w:r w:rsidR="004417D0">
        <w:t>measured at high fire or typical operating load, before and after the tune-up</w:t>
      </w:r>
      <w:r w:rsidRPr="0045530E">
        <w:t>;</w:t>
      </w:r>
    </w:p>
    <w:p w14:paraId="3223CB3E" w14:textId="77777777" w:rsidR="00B2332B" w:rsidRPr="0045530E" w:rsidRDefault="00B2332B" w:rsidP="00B2332B">
      <w:pPr>
        <w:ind w:leftChars="900" w:left="2880" w:hangingChars="300" w:hanging="720"/>
        <w:jc w:val="both"/>
      </w:pPr>
    </w:p>
    <w:p w14:paraId="2238E683" w14:textId="77777777" w:rsidR="00B2332B" w:rsidRPr="0045530E" w:rsidRDefault="00B2332B" w:rsidP="00B2332B">
      <w:pPr>
        <w:ind w:leftChars="900" w:left="2880" w:hangingChars="300" w:hanging="720"/>
        <w:jc w:val="both"/>
      </w:pPr>
      <w:r w:rsidRPr="0045530E">
        <w:t>(6)</w:t>
      </w:r>
      <w:r w:rsidRPr="0045530E">
        <w:tab/>
        <w:t>The O2 concentration</w:t>
      </w:r>
      <w:r w:rsidR="00E22953">
        <w:t>s</w:t>
      </w:r>
      <w:r w:rsidR="00D719CF">
        <w:t xml:space="preserve"> in the effluent stream</w:t>
      </w:r>
      <w:r w:rsidRPr="0045530E">
        <w:t xml:space="preserve">, in percent by volume dry basis, </w:t>
      </w:r>
      <w:r w:rsidR="004417D0">
        <w:t>measured at high fire or typical operating load, before and after the tune-up</w:t>
      </w:r>
      <w:r w:rsidRPr="0045530E">
        <w:t xml:space="preserve">; </w:t>
      </w:r>
    </w:p>
    <w:p w14:paraId="7BEFF306" w14:textId="77777777" w:rsidR="00B2332B" w:rsidRPr="0045530E" w:rsidRDefault="00B2332B" w:rsidP="00B2332B">
      <w:pPr>
        <w:ind w:leftChars="900" w:left="2880" w:hangingChars="300" w:hanging="720"/>
        <w:jc w:val="both"/>
      </w:pPr>
    </w:p>
    <w:p w14:paraId="3F4B194D" w14:textId="77777777" w:rsidR="003D311E" w:rsidRPr="0045530E" w:rsidRDefault="00B2332B" w:rsidP="003D311E">
      <w:pPr>
        <w:ind w:leftChars="900" w:left="2880" w:hanging="720"/>
        <w:jc w:val="both"/>
      </w:pPr>
      <w:r w:rsidRPr="0045530E">
        <w:t>(7)</w:t>
      </w:r>
      <w:r w:rsidRPr="0045530E">
        <w:tab/>
      </w:r>
      <w:r w:rsidR="003D311E" w:rsidRPr="0045530E">
        <w:t xml:space="preserve">A description of any corrective actions taken as a part of the tune-up of the </w:t>
      </w:r>
      <w:r w:rsidR="004417D0">
        <w:t>unit</w:t>
      </w:r>
      <w:r w:rsidR="003D311E" w:rsidRPr="0045530E">
        <w:t>;</w:t>
      </w:r>
    </w:p>
    <w:p w14:paraId="3F167D02" w14:textId="77777777" w:rsidR="003D311E" w:rsidRPr="0045530E" w:rsidRDefault="003D311E" w:rsidP="003D311E">
      <w:pPr>
        <w:ind w:leftChars="900" w:left="2880" w:hanging="720"/>
        <w:jc w:val="both"/>
      </w:pPr>
    </w:p>
    <w:p w14:paraId="5CC68DFE" w14:textId="77777777" w:rsidR="003D311E" w:rsidRPr="0045530E" w:rsidRDefault="003D311E" w:rsidP="003D311E">
      <w:pPr>
        <w:ind w:leftChars="900" w:left="2880" w:hanging="720"/>
        <w:jc w:val="both"/>
      </w:pPr>
      <w:r w:rsidRPr="0045530E">
        <w:t xml:space="preserve">(8) </w:t>
      </w:r>
      <w:r w:rsidRPr="0045530E">
        <w:tab/>
        <w:t xml:space="preserve">The type and amount of fuel used over the 12 months prior to the tune-up of the </w:t>
      </w:r>
      <w:r w:rsidR="004417D0">
        <w:t>unit</w:t>
      </w:r>
      <w:r w:rsidRPr="0045530E">
        <w:t>, but only if the unit was physically and legally capable of using more than one ty</w:t>
      </w:r>
      <w:r w:rsidR="00320C94" w:rsidRPr="0045530E">
        <w:t>pe of fuel during that period</w:t>
      </w:r>
      <w:r w:rsidR="00100AA3">
        <w:t>, except that</w:t>
      </w:r>
      <w:r w:rsidRPr="0045530E">
        <w:t xml:space="preserve"> </w:t>
      </w:r>
      <w:r w:rsidR="00100AA3">
        <w:t>u</w:t>
      </w:r>
      <w:r w:rsidRPr="0045530E">
        <w:t xml:space="preserve">nits sharing a fuel meter may estimate the fuel use by each unit; and </w:t>
      </w:r>
    </w:p>
    <w:p w14:paraId="48422210" w14:textId="77777777" w:rsidR="003D311E" w:rsidRPr="0045530E" w:rsidRDefault="003D311E" w:rsidP="003D311E">
      <w:pPr>
        <w:ind w:leftChars="900" w:left="2880" w:hanging="720"/>
        <w:jc w:val="both"/>
      </w:pPr>
    </w:p>
    <w:p w14:paraId="2C21A305" w14:textId="77777777" w:rsidR="00B2332B" w:rsidRPr="0045530E" w:rsidRDefault="003D311E" w:rsidP="00F23909">
      <w:pPr>
        <w:ind w:leftChars="900" w:left="2880" w:hanging="720"/>
        <w:jc w:val="both"/>
      </w:pPr>
      <w:r w:rsidRPr="0045530E">
        <w:t>(9)</w:t>
      </w:r>
      <w:r w:rsidRPr="0045530E">
        <w:tab/>
      </w:r>
      <w:r w:rsidR="00B2332B" w:rsidRPr="0045530E">
        <w:t xml:space="preserve">Any other information that the </w:t>
      </w:r>
      <w:r w:rsidR="00004B2E" w:rsidRPr="0045530E">
        <w:t>Department</w:t>
      </w:r>
      <w:r w:rsidR="00B2332B" w:rsidRPr="0045530E">
        <w:t xml:space="preserve"> may require.</w:t>
      </w:r>
      <w:r w:rsidR="0065246D" w:rsidRPr="0045530E">
        <w:t xml:space="preserve"> </w:t>
      </w:r>
    </w:p>
    <w:p w14:paraId="2177BD2D" w14:textId="77777777" w:rsidR="00B2332B" w:rsidRPr="0045530E" w:rsidRDefault="00B2332B" w:rsidP="00F23909">
      <w:pPr>
        <w:ind w:left="960" w:hangingChars="400" w:hanging="960"/>
        <w:jc w:val="both"/>
      </w:pPr>
    </w:p>
    <w:p w14:paraId="09A13055" w14:textId="77777777" w:rsidR="00DF3E38" w:rsidRPr="0045530E" w:rsidRDefault="00F43730" w:rsidP="0065246D">
      <w:pPr>
        <w:ind w:left="1440" w:hangingChars="600" w:hanging="1440"/>
        <w:jc w:val="both"/>
        <w:rPr>
          <w:i/>
        </w:rPr>
      </w:pPr>
      <w:r w:rsidRPr="0045530E">
        <w:t>805.10</w:t>
      </w:r>
      <w:r w:rsidR="0065246D" w:rsidRPr="0045530E">
        <w:tab/>
      </w:r>
      <w:r w:rsidR="00C8055F" w:rsidRPr="0045530E">
        <w:rPr>
          <w:i/>
        </w:rPr>
        <w:t xml:space="preserve">Monitoring and testing.  </w:t>
      </w:r>
    </w:p>
    <w:p w14:paraId="07C7DD36" w14:textId="77777777" w:rsidR="00DF3E38" w:rsidRPr="0045530E" w:rsidRDefault="00DF3E38" w:rsidP="0065246D">
      <w:pPr>
        <w:ind w:left="1440" w:hangingChars="600" w:hanging="1440"/>
        <w:jc w:val="both"/>
      </w:pPr>
    </w:p>
    <w:p w14:paraId="197E1A2A" w14:textId="2F4DE0F4" w:rsidR="0065246D" w:rsidRPr="0045530E" w:rsidRDefault="00DF3E38" w:rsidP="00170A35">
      <w:pPr>
        <w:ind w:leftChars="600" w:left="2160" w:hanging="720"/>
        <w:jc w:val="both"/>
      </w:pPr>
      <w:r w:rsidRPr="0045530E">
        <w:t xml:space="preserve">(a) </w:t>
      </w:r>
      <w:r w:rsidR="008D5766" w:rsidRPr="0045530E">
        <w:t xml:space="preserve">Any person required </w:t>
      </w:r>
      <w:r w:rsidR="00837BB1">
        <w:t xml:space="preserve">under </w:t>
      </w:r>
      <w:r w:rsidR="00837BB1" w:rsidRPr="0045530E">
        <w:t>§</w:t>
      </w:r>
      <w:r w:rsidR="00837BB1">
        <w:t xml:space="preserve"> 805 </w:t>
      </w:r>
      <w:r w:rsidR="008D5766" w:rsidRPr="0045530E">
        <w:t xml:space="preserve">to use </w:t>
      </w:r>
      <w:r w:rsidR="0065246D" w:rsidRPr="0045530E">
        <w:t>emissions monitoring system</w:t>
      </w:r>
      <w:r w:rsidR="008E1EB5" w:rsidRPr="0045530E">
        <w:t>s</w:t>
      </w:r>
      <w:r w:rsidR="0065246D" w:rsidRPr="0045530E">
        <w:t xml:space="preserve"> or </w:t>
      </w:r>
      <w:proofErr w:type="spellStart"/>
      <w:r w:rsidR="0065246D" w:rsidRPr="0045530E">
        <w:t>testing</w:t>
      </w:r>
      <w:r w:rsidR="008D5766" w:rsidRPr="0045530E">
        <w:t>to</w:t>
      </w:r>
      <w:proofErr w:type="spellEnd"/>
      <w:r w:rsidR="008D5766" w:rsidRPr="0045530E">
        <w:t xml:space="preserve"> determine compliance with emissions limits </w:t>
      </w:r>
      <w:r w:rsidR="0065246D" w:rsidRPr="0045530E">
        <w:t>shall:</w:t>
      </w:r>
    </w:p>
    <w:p w14:paraId="15BE83EB" w14:textId="77777777" w:rsidR="0065246D" w:rsidRPr="0045530E" w:rsidRDefault="0065246D" w:rsidP="0065246D">
      <w:pPr>
        <w:ind w:left="1440" w:hangingChars="600" w:hanging="1440"/>
        <w:jc w:val="both"/>
      </w:pPr>
    </w:p>
    <w:p w14:paraId="48D78CDC" w14:textId="77777777" w:rsidR="0065246D" w:rsidRPr="0045530E" w:rsidRDefault="0065246D" w:rsidP="00170A35">
      <w:pPr>
        <w:ind w:leftChars="900" w:left="2880" w:hanging="720"/>
        <w:jc w:val="both"/>
      </w:pPr>
      <w:r w:rsidRPr="0045530E">
        <w:t>(</w:t>
      </w:r>
      <w:r w:rsidR="00DF3E38" w:rsidRPr="0045530E">
        <w:t>1</w:t>
      </w:r>
      <w:r w:rsidRPr="0045530E">
        <w:t>)</w:t>
      </w:r>
      <w:r w:rsidRPr="0045530E">
        <w:tab/>
      </w:r>
      <w:r w:rsidR="008D5766" w:rsidRPr="0045530E">
        <w:t xml:space="preserve">For </w:t>
      </w:r>
      <w:r w:rsidR="00864D5C">
        <w:t xml:space="preserve">an </w:t>
      </w:r>
      <w:r w:rsidRPr="0045530E">
        <w:t>emission</w:t>
      </w:r>
      <w:r w:rsidR="008E1EB5" w:rsidRPr="0045530E">
        <w:t>s</w:t>
      </w:r>
      <w:r w:rsidRPr="0045530E">
        <w:t xml:space="preserve"> monitoring system:</w:t>
      </w:r>
    </w:p>
    <w:p w14:paraId="1043C07F" w14:textId="77777777" w:rsidR="00B2332B" w:rsidRPr="0045530E" w:rsidRDefault="00B2332B" w:rsidP="00AA1174">
      <w:pPr>
        <w:ind w:leftChars="675" w:left="1620"/>
        <w:jc w:val="both"/>
      </w:pPr>
    </w:p>
    <w:p w14:paraId="123C832F" w14:textId="74D96FF3" w:rsidR="009901F0" w:rsidRPr="0045530E" w:rsidRDefault="00B2332B" w:rsidP="00170A35">
      <w:pPr>
        <w:ind w:leftChars="1200" w:left="3600" w:hangingChars="300" w:hanging="720"/>
        <w:jc w:val="both"/>
      </w:pPr>
      <w:r w:rsidRPr="0045530E">
        <w:t>(</w:t>
      </w:r>
      <w:r w:rsidR="00DF3E38" w:rsidRPr="0045530E">
        <w:t>A</w:t>
      </w:r>
      <w:r w:rsidR="0065246D" w:rsidRPr="0045530E">
        <w:t>)</w:t>
      </w:r>
      <w:r w:rsidR="0065246D" w:rsidRPr="0045530E">
        <w:tab/>
      </w:r>
      <w:r w:rsidR="00837BB1">
        <w:t>Follow the procedures set forth in</w:t>
      </w:r>
      <w:r w:rsidR="009901F0" w:rsidRPr="0045530E">
        <w:t xml:space="preserve"> 40 CFR 60 Appendix B</w:t>
      </w:r>
      <w:r w:rsidR="00932B43" w:rsidRPr="0045530E">
        <w:t xml:space="preserve"> as applicable t</w:t>
      </w:r>
      <w:r w:rsidR="004E67CA" w:rsidRPr="0045530E">
        <w:t>o</w:t>
      </w:r>
      <w:r w:rsidR="00932B43" w:rsidRPr="0045530E">
        <w:t xml:space="preserve"> NOx monitoring</w:t>
      </w:r>
      <w:r w:rsidR="00837BB1">
        <w:t>. F</w:t>
      </w:r>
      <w:r w:rsidR="00A553B7" w:rsidRPr="0045530E">
        <w:t>acilities</w:t>
      </w:r>
      <w:r w:rsidR="00FF4C73" w:rsidRPr="0045530E">
        <w:t xml:space="preserve"> </w:t>
      </w:r>
      <w:r w:rsidR="00C7644F" w:rsidRPr="0045530E">
        <w:t xml:space="preserve">which are required to </w:t>
      </w:r>
      <w:r w:rsidR="00FF4C73" w:rsidRPr="0045530E">
        <w:t>comply with</w:t>
      </w:r>
      <w:r w:rsidR="008017E7" w:rsidRPr="0045530E">
        <w:t xml:space="preserve"> </w:t>
      </w:r>
      <w:r w:rsidR="00C7644F" w:rsidRPr="0045530E">
        <w:t>§ 30</w:t>
      </w:r>
      <w:r w:rsidR="00932B43" w:rsidRPr="0045530E">
        <w:t>6</w:t>
      </w:r>
      <w:r w:rsidR="00C7644F" w:rsidRPr="0045530E">
        <w:t xml:space="preserve"> or § 100</w:t>
      </w:r>
      <w:r w:rsidR="00932B43" w:rsidRPr="0045530E">
        <w:t>2</w:t>
      </w:r>
      <w:r w:rsidR="00837BB1">
        <w:t xml:space="preserve"> of </w:t>
      </w:r>
      <w:r w:rsidR="00905CC8">
        <w:t>this t</w:t>
      </w:r>
      <w:r w:rsidR="00837BB1">
        <w:t>itle</w:t>
      </w:r>
      <w:r w:rsidR="00FF4C73" w:rsidRPr="0045530E">
        <w:t xml:space="preserve">, </w:t>
      </w:r>
      <w:r w:rsidR="00837BB1">
        <w:t>may</w:t>
      </w:r>
      <w:r w:rsidR="00FF4C73" w:rsidRPr="0045530E">
        <w:t xml:space="preserve"> </w:t>
      </w:r>
      <w:r w:rsidR="00837BB1">
        <w:t>follow the procedures set forth in</w:t>
      </w:r>
      <w:r w:rsidR="00FF4C73" w:rsidRPr="0045530E">
        <w:t xml:space="preserve"> 40 CFR 75 in lieu of 40 CFR 60 Appendix B</w:t>
      </w:r>
      <w:r w:rsidRPr="0045530E">
        <w:t>;</w:t>
      </w:r>
      <w:r w:rsidR="009901F0" w:rsidRPr="0045530E">
        <w:t xml:space="preserve"> </w:t>
      </w:r>
    </w:p>
    <w:p w14:paraId="36815AA5" w14:textId="77777777" w:rsidR="009901F0" w:rsidRPr="0045530E" w:rsidRDefault="009901F0" w:rsidP="00170A35">
      <w:pPr>
        <w:ind w:leftChars="1200" w:left="3600" w:hangingChars="300" w:hanging="720"/>
        <w:jc w:val="both"/>
      </w:pPr>
    </w:p>
    <w:p w14:paraId="1B7F4B1A" w14:textId="77777777" w:rsidR="009901F0" w:rsidRPr="0045530E" w:rsidRDefault="009901F0" w:rsidP="00170A35">
      <w:pPr>
        <w:ind w:leftChars="1200" w:left="3600" w:hangingChars="300" w:hanging="720"/>
        <w:jc w:val="both"/>
      </w:pPr>
      <w:r w:rsidRPr="0045530E">
        <w:t>(</w:t>
      </w:r>
      <w:r w:rsidR="008864B0" w:rsidRPr="0045530E">
        <w:t>B</w:t>
      </w:r>
      <w:r w:rsidRPr="0045530E">
        <w:t>)</w:t>
      </w:r>
      <w:r w:rsidRPr="0045530E">
        <w:tab/>
        <w:t>Continuously monitor th</w:t>
      </w:r>
      <w:r w:rsidR="004E67CA" w:rsidRPr="0045530E">
        <w:t>e</w:t>
      </w:r>
      <w:r w:rsidRPr="0045530E">
        <w:t xml:space="preserve"> NO</w:t>
      </w:r>
      <w:r w:rsidR="008A253D" w:rsidRPr="0045530E">
        <w:t>x</w:t>
      </w:r>
      <w:r w:rsidRPr="0045530E">
        <w:t xml:space="preserve"> emission rate from the major stationary source; </w:t>
      </w:r>
    </w:p>
    <w:p w14:paraId="7D70F224" w14:textId="77777777" w:rsidR="009901F0" w:rsidRPr="0045530E" w:rsidRDefault="009901F0" w:rsidP="00170A35">
      <w:pPr>
        <w:ind w:leftChars="1200" w:left="3600" w:hangingChars="300" w:hanging="720"/>
        <w:jc w:val="both"/>
      </w:pPr>
    </w:p>
    <w:p w14:paraId="71065D24" w14:textId="77777777" w:rsidR="00B2332B" w:rsidRPr="0045530E" w:rsidRDefault="009901F0" w:rsidP="00170A35">
      <w:pPr>
        <w:ind w:leftChars="1200" w:left="3600" w:hangingChars="300" w:hanging="720"/>
        <w:jc w:val="both"/>
      </w:pPr>
      <w:r w:rsidRPr="0045530E">
        <w:lastRenderedPageBreak/>
        <w:t>(</w:t>
      </w:r>
      <w:r w:rsidR="008864B0" w:rsidRPr="0045530E">
        <w:t>C</w:t>
      </w:r>
      <w:r w:rsidRPr="0045530E">
        <w:t>)</w:t>
      </w:r>
      <w:r w:rsidRPr="0045530E">
        <w:tab/>
        <w:t>Continuously record th</w:t>
      </w:r>
      <w:r w:rsidR="004E67CA" w:rsidRPr="0045530E">
        <w:t>e</w:t>
      </w:r>
      <w:r w:rsidRPr="0045530E">
        <w:t xml:space="preserve"> NO</w:t>
      </w:r>
      <w:r w:rsidR="008A253D" w:rsidRPr="0045530E">
        <w:t>x</w:t>
      </w:r>
      <w:r w:rsidRPr="0045530E">
        <w:t xml:space="preserve"> emission rate from the major stationary source</w:t>
      </w:r>
      <w:r w:rsidR="002E0356" w:rsidRPr="0045530E">
        <w:t>;</w:t>
      </w:r>
    </w:p>
    <w:p w14:paraId="1C3016E8" w14:textId="77777777" w:rsidR="00B2332B" w:rsidRPr="0045530E" w:rsidRDefault="00B2332B" w:rsidP="00170A35">
      <w:pPr>
        <w:ind w:leftChars="1200" w:left="3600" w:hangingChars="300" w:hanging="720"/>
        <w:jc w:val="both"/>
      </w:pPr>
    </w:p>
    <w:p w14:paraId="7BEB7A40" w14:textId="77777777" w:rsidR="0065246D" w:rsidRPr="0045530E" w:rsidRDefault="00B2332B" w:rsidP="00170A35">
      <w:pPr>
        <w:ind w:leftChars="1200" w:left="3600" w:hangingChars="300" w:hanging="720"/>
        <w:jc w:val="both"/>
      </w:pPr>
      <w:r w:rsidRPr="0045530E">
        <w:t>(</w:t>
      </w:r>
      <w:r w:rsidR="008864B0" w:rsidRPr="0045530E">
        <w:t>D</w:t>
      </w:r>
      <w:r w:rsidR="0065246D" w:rsidRPr="0045530E">
        <w:t>)</w:t>
      </w:r>
      <w:r w:rsidR="0065246D" w:rsidRPr="0045530E">
        <w:tab/>
      </w:r>
      <w:r w:rsidR="00864D5C">
        <w:t xml:space="preserve">Install and operate the system </w:t>
      </w:r>
      <w:r w:rsidR="0065246D" w:rsidRPr="0045530E">
        <w:t>in a manner approved by the Department and acceptable to EPA; and</w:t>
      </w:r>
    </w:p>
    <w:p w14:paraId="13BDDD64" w14:textId="77777777" w:rsidR="0065246D" w:rsidRPr="0045530E" w:rsidRDefault="0065246D" w:rsidP="00170A35">
      <w:pPr>
        <w:ind w:leftChars="1200" w:left="3600" w:hangingChars="300" w:hanging="720"/>
        <w:jc w:val="both"/>
      </w:pPr>
    </w:p>
    <w:p w14:paraId="75E30DC8" w14:textId="77777777" w:rsidR="0065246D" w:rsidRPr="0045530E" w:rsidRDefault="0065246D" w:rsidP="00170A35">
      <w:pPr>
        <w:ind w:leftChars="1200" w:left="3600" w:hangingChars="300" w:hanging="720"/>
        <w:jc w:val="both"/>
      </w:pPr>
      <w:r w:rsidRPr="0045530E">
        <w:t>(</w:t>
      </w:r>
      <w:r w:rsidR="008864B0" w:rsidRPr="0045530E">
        <w:t>E</w:t>
      </w:r>
      <w:r w:rsidRPr="0045530E">
        <w:t>)</w:t>
      </w:r>
      <w:r w:rsidRPr="0045530E">
        <w:tab/>
        <w:t>Demonstrate that th</w:t>
      </w:r>
      <w:r w:rsidR="004E67CA" w:rsidRPr="0045530E">
        <w:t>e</w:t>
      </w:r>
      <w:r w:rsidRPr="0045530E">
        <w:t xml:space="preserve"> NO</w:t>
      </w:r>
      <w:r w:rsidR="008A253D" w:rsidRPr="0045530E">
        <w:t>x</w:t>
      </w:r>
      <w:r w:rsidRPr="0045530E">
        <w:t xml:space="preserve">, emission rate does not exceed the RACT emission limitations </w:t>
      </w:r>
      <w:r w:rsidR="00905CC8">
        <w:t xml:space="preserve">as applicable to the unit under </w:t>
      </w:r>
      <w:r w:rsidR="00905CC8" w:rsidRPr="0045530E">
        <w:t>§ 805</w:t>
      </w:r>
      <w:r w:rsidR="00905CC8">
        <w:t xml:space="preserve"> and </w:t>
      </w:r>
      <w:r w:rsidRPr="0045530E">
        <w:t xml:space="preserve">contained in the </w:t>
      </w:r>
      <w:r w:rsidR="00131E2D" w:rsidRPr="0045530E">
        <w:t xml:space="preserve">permit </w:t>
      </w:r>
      <w:r w:rsidR="00864D5C">
        <w:t xml:space="preserve">issued </w:t>
      </w:r>
      <w:r w:rsidR="00131E2D" w:rsidRPr="0045530E">
        <w:t xml:space="preserve">pursuant to </w:t>
      </w:r>
      <w:r w:rsidR="00E65A53" w:rsidRPr="0045530E">
        <w:t>§ 200 of this title</w:t>
      </w:r>
      <w:r w:rsidR="00692D8D" w:rsidRPr="0045530E">
        <w:t xml:space="preserve">; </w:t>
      </w:r>
    </w:p>
    <w:p w14:paraId="2294A44C" w14:textId="77777777" w:rsidR="0065246D" w:rsidRPr="0045530E" w:rsidRDefault="0065246D" w:rsidP="0065246D">
      <w:pPr>
        <w:ind w:left="960" w:hangingChars="400" w:hanging="960"/>
        <w:jc w:val="both"/>
      </w:pPr>
    </w:p>
    <w:p w14:paraId="3B6FCE27" w14:textId="77777777" w:rsidR="00B2332B" w:rsidRPr="0045530E" w:rsidRDefault="0065246D" w:rsidP="003D72EF">
      <w:pPr>
        <w:ind w:leftChars="900" w:left="2880" w:hangingChars="300" w:hanging="720"/>
        <w:jc w:val="both"/>
      </w:pPr>
      <w:r w:rsidRPr="0045530E">
        <w:t>(</w:t>
      </w:r>
      <w:r w:rsidR="00DF3E38" w:rsidRPr="0045530E">
        <w:t>2</w:t>
      </w:r>
      <w:r w:rsidR="00B2332B" w:rsidRPr="0045530E">
        <w:t>)</w:t>
      </w:r>
      <w:r w:rsidR="00B2332B" w:rsidRPr="0045530E">
        <w:tab/>
      </w:r>
      <w:r w:rsidR="008D5766" w:rsidRPr="0045530E">
        <w:t>For t</w:t>
      </w:r>
      <w:r w:rsidR="00B2332B" w:rsidRPr="0045530E">
        <w:t>esting:</w:t>
      </w:r>
    </w:p>
    <w:p w14:paraId="4B448024" w14:textId="77777777" w:rsidR="00B2332B" w:rsidRPr="0045530E" w:rsidRDefault="00B2332B" w:rsidP="00B2332B">
      <w:pPr>
        <w:ind w:left="960" w:hangingChars="400" w:hanging="960"/>
        <w:jc w:val="both"/>
      </w:pPr>
    </w:p>
    <w:p w14:paraId="1DF4B3FB" w14:textId="77777777" w:rsidR="00B2332B" w:rsidRPr="0045530E" w:rsidRDefault="00B2332B" w:rsidP="003D72EF">
      <w:pPr>
        <w:ind w:leftChars="1200" w:left="3600" w:hangingChars="300" w:hanging="720"/>
        <w:jc w:val="both"/>
      </w:pPr>
      <w:r w:rsidRPr="0045530E">
        <w:t>(</w:t>
      </w:r>
      <w:r w:rsidR="00DF3E38" w:rsidRPr="0045530E">
        <w:t>A</w:t>
      </w:r>
      <w:r w:rsidRPr="0045530E">
        <w:t>)</w:t>
      </w:r>
      <w:r w:rsidRPr="0045530E">
        <w:tab/>
      </w:r>
      <w:r w:rsidR="002F497B">
        <w:t xml:space="preserve">Conduct testing </w:t>
      </w:r>
      <w:r w:rsidRPr="0045530E">
        <w:t>using methods approved by the Department and acceptable to EPA;</w:t>
      </w:r>
    </w:p>
    <w:p w14:paraId="4FA961ED" w14:textId="77777777" w:rsidR="00B2332B" w:rsidRPr="0045530E" w:rsidRDefault="00B2332B" w:rsidP="003D72EF">
      <w:pPr>
        <w:ind w:leftChars="1200" w:left="3600" w:hangingChars="300" w:hanging="720"/>
        <w:jc w:val="both"/>
      </w:pPr>
    </w:p>
    <w:p w14:paraId="301E8E5A" w14:textId="77777777" w:rsidR="00B2332B" w:rsidRPr="0045530E" w:rsidRDefault="00B2332B" w:rsidP="003D72EF">
      <w:pPr>
        <w:ind w:leftChars="1200" w:left="3600" w:hangingChars="300" w:hanging="720"/>
        <w:jc w:val="both"/>
      </w:pPr>
      <w:r w:rsidRPr="0045530E">
        <w:t>(</w:t>
      </w:r>
      <w:r w:rsidR="008864B0" w:rsidRPr="0045530E">
        <w:t>B</w:t>
      </w:r>
      <w:r w:rsidR="0065246D" w:rsidRPr="0045530E">
        <w:t>)</w:t>
      </w:r>
      <w:r w:rsidR="0065246D" w:rsidRPr="0045530E">
        <w:tab/>
        <w:t>Demonstrate that th</w:t>
      </w:r>
      <w:r w:rsidR="004E67CA" w:rsidRPr="0045530E">
        <w:t>e</w:t>
      </w:r>
      <w:r w:rsidR="0065246D" w:rsidRPr="0045530E">
        <w:t xml:space="preserve"> NO</w:t>
      </w:r>
      <w:r w:rsidR="008A253D" w:rsidRPr="0045530E">
        <w:t>x</w:t>
      </w:r>
      <w:r w:rsidR="0065246D" w:rsidRPr="0045530E">
        <w:t xml:space="preserve"> emission rate does not exceed the RACT emission limitations </w:t>
      </w:r>
      <w:r w:rsidR="00905CC8">
        <w:t xml:space="preserve">as applicable to the unit under </w:t>
      </w:r>
      <w:r w:rsidR="00905CC8" w:rsidRPr="0045530E">
        <w:t>§ 805</w:t>
      </w:r>
      <w:r w:rsidR="00905CC8">
        <w:t xml:space="preserve"> and </w:t>
      </w:r>
      <w:r w:rsidR="0065246D" w:rsidRPr="0045530E">
        <w:t xml:space="preserve">contained in the </w:t>
      </w:r>
      <w:r w:rsidR="00131E2D" w:rsidRPr="0045530E">
        <w:t xml:space="preserve">permit </w:t>
      </w:r>
      <w:r w:rsidR="002F497B">
        <w:t xml:space="preserve">issued </w:t>
      </w:r>
      <w:r w:rsidR="00131E2D" w:rsidRPr="0045530E">
        <w:t xml:space="preserve">pursuant to </w:t>
      </w:r>
      <w:r w:rsidR="00E65A53" w:rsidRPr="0045530E">
        <w:t>§ 200 of this title</w:t>
      </w:r>
      <w:r w:rsidRPr="0045530E">
        <w:t>; and</w:t>
      </w:r>
    </w:p>
    <w:p w14:paraId="1F47D097" w14:textId="77777777" w:rsidR="00B2332B" w:rsidRPr="0045530E" w:rsidRDefault="00B2332B" w:rsidP="003D72EF">
      <w:pPr>
        <w:ind w:leftChars="1200" w:left="3600" w:hangingChars="300" w:hanging="720"/>
        <w:jc w:val="both"/>
      </w:pPr>
    </w:p>
    <w:p w14:paraId="2119E5AF" w14:textId="77777777" w:rsidR="00CE4725" w:rsidRDefault="00B2332B" w:rsidP="003D72EF">
      <w:pPr>
        <w:ind w:leftChars="1200" w:left="3600" w:hangingChars="300" w:hanging="720"/>
        <w:jc w:val="both"/>
      </w:pPr>
      <w:r w:rsidRPr="0045530E">
        <w:t>(</w:t>
      </w:r>
      <w:r w:rsidR="008864B0" w:rsidRPr="0045530E">
        <w:t>C</w:t>
      </w:r>
      <w:r w:rsidR="006E6D2D" w:rsidRPr="0045530E">
        <w:t>)</w:t>
      </w:r>
      <w:r w:rsidR="006E6D2D" w:rsidRPr="0045530E">
        <w:tab/>
      </w:r>
      <w:r w:rsidR="002F497B">
        <w:t xml:space="preserve">Conduct testing </w:t>
      </w:r>
      <w:r w:rsidR="0063311D" w:rsidRPr="0045530E">
        <w:t xml:space="preserve">on the following schedules: </w:t>
      </w:r>
    </w:p>
    <w:p w14:paraId="798D2038" w14:textId="77777777" w:rsidR="002F497B" w:rsidRPr="0045530E" w:rsidRDefault="002F497B" w:rsidP="00CE4725">
      <w:pPr>
        <w:ind w:leftChars="900" w:left="2880" w:hangingChars="300" w:hanging="720"/>
        <w:jc w:val="both"/>
      </w:pPr>
    </w:p>
    <w:p w14:paraId="361A06A5" w14:textId="77777777" w:rsidR="00632580" w:rsidRPr="0045530E" w:rsidRDefault="008A253D" w:rsidP="003D72EF">
      <w:pPr>
        <w:ind w:leftChars="1500" w:left="4320" w:hangingChars="300" w:hanging="720"/>
        <w:jc w:val="both"/>
      </w:pPr>
      <w:r w:rsidRPr="0045530E">
        <w:t>(</w:t>
      </w:r>
      <w:proofErr w:type="spellStart"/>
      <w:r w:rsidRPr="0045530E">
        <w:t>i</w:t>
      </w:r>
      <w:proofErr w:type="spellEnd"/>
      <w:r w:rsidRPr="0045530E">
        <w:t>)</w:t>
      </w:r>
      <w:r w:rsidRPr="0045530E">
        <w:tab/>
        <w:t>For asphaltic concrete production equipment subject to § 805.6</w:t>
      </w:r>
      <w:r w:rsidR="002F497B">
        <w:t>,</w:t>
      </w:r>
      <w:r w:rsidRPr="0045530E">
        <w:t xml:space="preserve"> </w:t>
      </w:r>
      <w:r w:rsidR="00632580" w:rsidRPr="0045530E">
        <w:t xml:space="preserve">testing </w:t>
      </w:r>
      <w:r w:rsidRPr="0045530E">
        <w:t xml:space="preserve">shall </w:t>
      </w:r>
      <w:r w:rsidR="00632580" w:rsidRPr="0045530E">
        <w:t xml:space="preserve">be </w:t>
      </w:r>
      <w:r w:rsidRPr="0045530E">
        <w:t>conduct</w:t>
      </w:r>
      <w:r w:rsidR="00632580" w:rsidRPr="0045530E">
        <w:t>ed</w:t>
      </w:r>
      <w:r w:rsidRPr="0045530E">
        <w:t xml:space="preserve"> before May 1</w:t>
      </w:r>
      <w:r w:rsidRPr="0045530E">
        <w:rPr>
          <w:vertAlign w:val="superscript"/>
        </w:rPr>
        <w:t>st</w:t>
      </w:r>
      <w:r w:rsidRPr="0045530E">
        <w:t xml:space="preserve"> of each year; </w:t>
      </w:r>
    </w:p>
    <w:p w14:paraId="1F7DBCFD" w14:textId="77777777" w:rsidR="00632580" w:rsidRPr="0045530E" w:rsidRDefault="00632580" w:rsidP="003D72EF">
      <w:pPr>
        <w:ind w:leftChars="1500" w:left="4320" w:hangingChars="300" w:hanging="720"/>
        <w:jc w:val="both"/>
      </w:pPr>
    </w:p>
    <w:p w14:paraId="35C7EF9B" w14:textId="77777777" w:rsidR="0031614E" w:rsidRPr="0045530E" w:rsidRDefault="00632580" w:rsidP="003D72EF">
      <w:pPr>
        <w:ind w:leftChars="1500" w:left="4320" w:hangingChars="300" w:hanging="720"/>
        <w:jc w:val="both"/>
      </w:pPr>
      <w:r w:rsidRPr="0045530E">
        <w:t>(ii)</w:t>
      </w:r>
      <w:r w:rsidRPr="0045530E">
        <w:tab/>
        <w:t xml:space="preserve">For stationary combustion turbines subject to § 805.4, testing shall be conducted as </w:t>
      </w:r>
      <w:r w:rsidR="0031614E" w:rsidRPr="0045530E">
        <w:t>follows:</w:t>
      </w:r>
    </w:p>
    <w:p w14:paraId="523FE1E7" w14:textId="77777777" w:rsidR="0031614E" w:rsidRPr="0045530E" w:rsidRDefault="0031614E" w:rsidP="005B1B6D">
      <w:pPr>
        <w:ind w:leftChars="1200" w:left="3600" w:hangingChars="300" w:hanging="720"/>
        <w:jc w:val="both"/>
      </w:pPr>
    </w:p>
    <w:p w14:paraId="77CA3787" w14:textId="2DC3997C" w:rsidR="0031614E" w:rsidRPr="0045530E" w:rsidRDefault="0031614E" w:rsidP="003D72EF">
      <w:pPr>
        <w:ind w:leftChars="1800" w:left="5040" w:hangingChars="300" w:hanging="720"/>
        <w:jc w:val="both"/>
      </w:pPr>
      <w:r w:rsidRPr="0045530E">
        <w:t>(</w:t>
      </w:r>
      <w:r w:rsidR="008864B0" w:rsidRPr="0045530E">
        <w:t>I</w:t>
      </w:r>
      <w:r w:rsidRPr="0045530E">
        <w:t>)</w:t>
      </w:r>
      <w:r w:rsidRPr="0045530E">
        <w:tab/>
        <w:t>Once within one hundred and eighty (180) days of either initial start-up of the unit or the date of the applicability of § 805 to the unit, whichever is later;</w:t>
      </w:r>
    </w:p>
    <w:p w14:paraId="43768139" w14:textId="77777777" w:rsidR="0031614E" w:rsidRPr="0045530E" w:rsidRDefault="0031614E" w:rsidP="003D72EF">
      <w:pPr>
        <w:ind w:leftChars="1800" w:left="5040" w:hangingChars="300" w:hanging="720"/>
        <w:jc w:val="both"/>
      </w:pPr>
    </w:p>
    <w:p w14:paraId="34484AC3" w14:textId="77777777" w:rsidR="0031614E" w:rsidRPr="0045530E" w:rsidRDefault="0031614E" w:rsidP="003D72EF">
      <w:pPr>
        <w:ind w:leftChars="1800" w:left="5040" w:hangingChars="300" w:hanging="720"/>
        <w:jc w:val="both"/>
      </w:pPr>
    </w:p>
    <w:p w14:paraId="5468F9A0" w14:textId="43E3FD98" w:rsidR="0031614E" w:rsidRPr="0045530E" w:rsidRDefault="0031614E" w:rsidP="003D72EF">
      <w:pPr>
        <w:ind w:leftChars="1800" w:left="5040" w:hangingChars="300" w:hanging="720"/>
        <w:jc w:val="both"/>
      </w:pPr>
      <w:r w:rsidRPr="0045530E">
        <w:t>(</w:t>
      </w:r>
      <w:r w:rsidR="008864B0" w:rsidRPr="0045530E">
        <w:t>II</w:t>
      </w:r>
      <w:r w:rsidRPr="0045530E">
        <w:t>)</w:t>
      </w:r>
      <w:r w:rsidRPr="0045530E">
        <w:tab/>
        <w:t>For units with heat input ratings greater than ten million (10,000,000) BTU per hour, based on the higher heating value of the fuel, and subject to a maximum allowabl</w:t>
      </w:r>
      <w:r w:rsidR="004E67CA" w:rsidRPr="0045530E">
        <w:t>e</w:t>
      </w:r>
      <w:r w:rsidRPr="0045530E">
        <w:t xml:space="preserve"> NOx emission rate in § 805.4, subsequent tests shall be performed once each calendar year and no more than fourteen (14) calendar months following the previous performance test, unless the performance test results show emissions are less than or </w:t>
      </w:r>
      <w:r w:rsidRPr="0045530E">
        <w:lastRenderedPageBreak/>
        <w:t>equal to seventy-five percent (75%) of the applicable emission limit, in which case the subsequent test must be performed once during the next two calendar years and no more than twenty-six (26) calendar months following the previous performance test; and</w:t>
      </w:r>
    </w:p>
    <w:p w14:paraId="5A3D4059" w14:textId="77777777" w:rsidR="0031614E" w:rsidRPr="0045530E" w:rsidRDefault="0031614E" w:rsidP="003D72EF">
      <w:pPr>
        <w:ind w:leftChars="1800" w:left="5040" w:hangingChars="300" w:hanging="720"/>
        <w:jc w:val="both"/>
      </w:pPr>
    </w:p>
    <w:p w14:paraId="7ADA6C46" w14:textId="1C847801" w:rsidR="005B1B6D" w:rsidRPr="0045530E" w:rsidRDefault="0031614E" w:rsidP="003D72EF">
      <w:pPr>
        <w:ind w:leftChars="1800" w:left="5040" w:hangingChars="300" w:hanging="720"/>
        <w:jc w:val="both"/>
      </w:pPr>
      <w:r w:rsidRPr="0045530E">
        <w:t>(</w:t>
      </w:r>
      <w:r w:rsidR="008864B0" w:rsidRPr="0045530E">
        <w:t>I</w:t>
      </w:r>
      <w:r w:rsidR="00837BB1">
        <w:t>II</w:t>
      </w:r>
      <w:r w:rsidRPr="0045530E">
        <w:t>)</w:t>
      </w:r>
      <w:r w:rsidRPr="0045530E">
        <w:tab/>
        <w:t>For units with heat input ratings less than or equal to ten million (10,000,000) BTU per hour, based on the higher heating value of the fuel, and subject to a maximum allowabl</w:t>
      </w:r>
      <w:r w:rsidR="004E67CA" w:rsidRPr="0045530E">
        <w:t>e</w:t>
      </w:r>
      <w:r w:rsidRPr="0045530E">
        <w:t xml:space="preserve"> NOx emission rate in § 805.4, subsequent tests shall be performed once every five (5) calendar years and no more than sixty-two (62) months after the previous performance test.</w:t>
      </w:r>
    </w:p>
    <w:p w14:paraId="2878A062" w14:textId="77777777" w:rsidR="005B1B6D" w:rsidRPr="0045530E" w:rsidRDefault="005B1B6D" w:rsidP="00AA1174">
      <w:pPr>
        <w:ind w:leftChars="1200" w:left="3600" w:hangingChars="300" w:hanging="720"/>
        <w:jc w:val="both"/>
      </w:pPr>
    </w:p>
    <w:p w14:paraId="36AD9942" w14:textId="77777777" w:rsidR="00AA6E27" w:rsidRPr="0045530E" w:rsidRDefault="00AA6E27" w:rsidP="003D72EF">
      <w:pPr>
        <w:ind w:leftChars="1500" w:left="4320" w:hangingChars="300" w:hanging="720"/>
        <w:jc w:val="both"/>
      </w:pPr>
      <w:r w:rsidRPr="0045530E">
        <w:t>(i</w:t>
      </w:r>
      <w:r w:rsidR="00632580" w:rsidRPr="0045530E">
        <w:t>i</w:t>
      </w:r>
      <w:r w:rsidRPr="0045530E">
        <w:t>i)</w:t>
      </w:r>
      <w:r w:rsidRPr="0045530E">
        <w:tab/>
        <w:t>For all other units subject to § 805, before December 31</w:t>
      </w:r>
      <w:r w:rsidRPr="0045530E">
        <w:rPr>
          <w:vertAlign w:val="superscript"/>
        </w:rPr>
        <w:t>st</w:t>
      </w:r>
      <w:r w:rsidRPr="0045530E">
        <w:t xml:space="preserve"> of every fifth year, </w:t>
      </w:r>
      <w:r w:rsidR="00AF5214" w:rsidRPr="0045530E">
        <w:t xml:space="preserve">counting from a date stipulated in a permit issued for the equipment pursuant to § 200 or from the </w:t>
      </w:r>
      <w:r w:rsidR="00CC3541">
        <w:t xml:space="preserve">effective </w:t>
      </w:r>
      <w:r w:rsidR="00AF5214" w:rsidRPr="0045530E">
        <w:t>date of this section, whichever is</w:t>
      </w:r>
      <w:r w:rsidR="00C2760F">
        <w:t xml:space="preserve"> </w:t>
      </w:r>
      <w:r w:rsidR="00CC3541">
        <w:t>earlier</w:t>
      </w:r>
      <w:r w:rsidR="00AF5214" w:rsidRPr="0045530E">
        <w:t xml:space="preserve">, </w:t>
      </w:r>
      <w:r w:rsidRPr="0045530E">
        <w:t xml:space="preserve">unless the Department requires a more frequent testing schedule in a permit </w:t>
      </w:r>
      <w:r w:rsidR="00CC3541">
        <w:t xml:space="preserve">issued </w:t>
      </w:r>
      <w:r w:rsidRPr="0045530E">
        <w:t>pursuant to § 200</w:t>
      </w:r>
      <w:r w:rsidR="00B61B93" w:rsidRPr="0045530E">
        <w:t xml:space="preserve">; </w:t>
      </w:r>
      <w:r w:rsidR="009A40C8" w:rsidRPr="0045530E">
        <w:t>and</w:t>
      </w:r>
    </w:p>
    <w:p w14:paraId="3CDD41A8" w14:textId="77777777" w:rsidR="008864B0" w:rsidRPr="0045530E" w:rsidRDefault="008864B0" w:rsidP="00AA1174">
      <w:pPr>
        <w:ind w:leftChars="1200" w:left="3600" w:hangingChars="300" w:hanging="720"/>
        <w:jc w:val="both"/>
      </w:pPr>
    </w:p>
    <w:p w14:paraId="0F2CAB37" w14:textId="77777777" w:rsidR="00DF3E38" w:rsidRPr="0045530E" w:rsidRDefault="00DF3E38" w:rsidP="005F08CF">
      <w:pPr>
        <w:ind w:left="2160" w:hanging="720"/>
        <w:jc w:val="both"/>
      </w:pPr>
      <w:r w:rsidRPr="0045530E">
        <w:t>(b)</w:t>
      </w:r>
      <w:r w:rsidRPr="0045530E">
        <w:tab/>
        <w:t xml:space="preserve">Any person required to implement RACT shall, upon request of the Department, perform or have performed tests to demonstrate compliance </w:t>
      </w:r>
      <w:r w:rsidR="00CC3541">
        <w:t xml:space="preserve">with emission limits </w:t>
      </w:r>
      <w:r w:rsidRPr="0045530E">
        <w:t>in accordance with methods approved by the Department and EPA; and</w:t>
      </w:r>
    </w:p>
    <w:p w14:paraId="3FB12703" w14:textId="77777777" w:rsidR="00DF3E38" w:rsidRPr="0045530E" w:rsidRDefault="00DF3E38" w:rsidP="00352596">
      <w:pPr>
        <w:ind w:leftChars="600" w:left="2160" w:hangingChars="300" w:hanging="720"/>
        <w:jc w:val="both"/>
      </w:pPr>
    </w:p>
    <w:p w14:paraId="0A326341" w14:textId="77777777" w:rsidR="00B61B93" w:rsidRPr="0045530E" w:rsidRDefault="00B61B93" w:rsidP="00352596">
      <w:pPr>
        <w:ind w:leftChars="600" w:left="2160" w:hangingChars="300" w:hanging="720"/>
        <w:jc w:val="both"/>
      </w:pPr>
      <w:r w:rsidRPr="0045530E">
        <w:t>(c)</w:t>
      </w:r>
      <w:r w:rsidRPr="0045530E">
        <w:tab/>
        <w:t xml:space="preserve">Testing performed to verify compliance </w:t>
      </w:r>
      <w:r w:rsidR="00CC3541">
        <w:t xml:space="preserve">with emission limits </w:t>
      </w:r>
      <w:r w:rsidRPr="0045530E">
        <w:t>shall be based on a period during which the emission unit or air pollution control equipment is used and operated under conditions acceptable to the Department and the EPA</w:t>
      </w:r>
      <w:r w:rsidR="00CC3541">
        <w:t>,</w:t>
      </w:r>
      <w:r w:rsidRPr="0045530E">
        <w:t xml:space="preserve"> and consistent with the operational parameters and limits set forth in any permit issued pursuant to § 200 of this title.</w:t>
      </w:r>
    </w:p>
    <w:p w14:paraId="56A742EB" w14:textId="77777777" w:rsidR="004E67CA" w:rsidRPr="0045530E" w:rsidRDefault="004E67CA" w:rsidP="00352596">
      <w:pPr>
        <w:ind w:leftChars="600" w:left="2160" w:hangingChars="300" w:hanging="720"/>
        <w:jc w:val="both"/>
      </w:pPr>
    </w:p>
    <w:p w14:paraId="69BF0B48" w14:textId="77777777" w:rsidR="00CC3541" w:rsidRDefault="004E67CA" w:rsidP="00170A35">
      <w:pPr>
        <w:ind w:left="1440" w:hangingChars="600" w:hanging="1440"/>
        <w:jc w:val="both"/>
      </w:pPr>
      <w:r w:rsidRPr="0045530E">
        <w:t>805.11</w:t>
      </w:r>
      <w:r w:rsidRPr="0045530E">
        <w:tab/>
      </w:r>
      <w:r w:rsidR="00DF3E38" w:rsidRPr="0045530E">
        <w:rPr>
          <w:i/>
        </w:rPr>
        <w:t xml:space="preserve">Record keeping. </w:t>
      </w:r>
      <w:r w:rsidR="007840FE" w:rsidRPr="0045530E">
        <w:t>Any person required to implement RACT shall</w:t>
      </w:r>
      <w:r w:rsidR="00CC3541">
        <w:t>:</w:t>
      </w:r>
      <w:r w:rsidR="007840FE" w:rsidRPr="0045530E">
        <w:t xml:space="preserve"> </w:t>
      </w:r>
    </w:p>
    <w:p w14:paraId="6120C828" w14:textId="77777777" w:rsidR="00CC3541" w:rsidRDefault="00CC3541" w:rsidP="00170A35">
      <w:pPr>
        <w:ind w:left="1440" w:hangingChars="600" w:hanging="1440"/>
        <w:jc w:val="both"/>
      </w:pPr>
    </w:p>
    <w:p w14:paraId="41ABA22A" w14:textId="77777777" w:rsidR="00CC3541" w:rsidRDefault="00CC3541" w:rsidP="00170A35">
      <w:pPr>
        <w:pStyle w:val="ListParagraph"/>
        <w:numPr>
          <w:ilvl w:val="0"/>
          <w:numId w:val="24"/>
        </w:numPr>
        <w:ind w:left="2160" w:hanging="720"/>
        <w:jc w:val="both"/>
      </w:pPr>
      <w:r>
        <w:t>P</w:t>
      </w:r>
      <w:r w:rsidR="007840FE" w:rsidRPr="0045530E">
        <w:t>repare and maintain records</w:t>
      </w:r>
      <w:r w:rsidR="00BE432B" w:rsidRPr="0045530E">
        <w:t xml:space="preserve"> </w:t>
      </w:r>
      <w:r w:rsidR="007840FE" w:rsidRPr="0045530E">
        <w:t xml:space="preserve">sufficient to demonstrate compliance consistent with the applicable </w:t>
      </w:r>
      <w:r w:rsidR="00BE432B" w:rsidRPr="0045530E">
        <w:t>standard</w:t>
      </w:r>
      <w:r w:rsidR="007840FE" w:rsidRPr="0045530E">
        <w:t xml:space="preserve">; </w:t>
      </w:r>
    </w:p>
    <w:p w14:paraId="7078F3DB" w14:textId="77777777" w:rsidR="00CC3541" w:rsidRDefault="00CC3541" w:rsidP="00170A35">
      <w:pPr>
        <w:pStyle w:val="ListParagraph"/>
        <w:ind w:left="2160"/>
        <w:jc w:val="both"/>
      </w:pPr>
    </w:p>
    <w:p w14:paraId="6B300727" w14:textId="77777777" w:rsidR="00CC3541" w:rsidRDefault="00CC3541" w:rsidP="00170A35">
      <w:pPr>
        <w:pStyle w:val="ListParagraph"/>
        <w:numPr>
          <w:ilvl w:val="0"/>
          <w:numId w:val="24"/>
        </w:numPr>
        <w:ind w:left="2160" w:hanging="720"/>
        <w:jc w:val="both"/>
      </w:pPr>
      <w:r>
        <w:t>K</w:t>
      </w:r>
      <w:r w:rsidR="007840FE" w:rsidRPr="0045530E">
        <w:t xml:space="preserve">eep these records on-site for </w:t>
      </w:r>
      <w:r w:rsidR="008864B0" w:rsidRPr="0045530E">
        <w:t>five (5</w:t>
      </w:r>
      <w:r w:rsidR="007840FE" w:rsidRPr="0045530E">
        <w:t xml:space="preserve">) years; and </w:t>
      </w:r>
    </w:p>
    <w:p w14:paraId="2C8F40E8" w14:textId="77777777" w:rsidR="00CC3541" w:rsidRDefault="00CC3541" w:rsidP="00170A35">
      <w:pPr>
        <w:pStyle w:val="ListParagraph"/>
      </w:pPr>
    </w:p>
    <w:p w14:paraId="0EB9C0C0" w14:textId="77777777" w:rsidR="007840FE" w:rsidRPr="0045530E" w:rsidRDefault="00CC3541" w:rsidP="00170A35">
      <w:pPr>
        <w:pStyle w:val="ListParagraph"/>
        <w:numPr>
          <w:ilvl w:val="0"/>
          <w:numId w:val="24"/>
        </w:numPr>
        <w:ind w:left="2160" w:hanging="720"/>
        <w:jc w:val="both"/>
      </w:pPr>
      <w:r>
        <w:lastRenderedPageBreak/>
        <w:t>M</w:t>
      </w:r>
      <w:r w:rsidR="007840FE" w:rsidRPr="0045530E">
        <w:t xml:space="preserve">ake these records available to representatives of the Department and EPA in accordance with the requirements in any permit </w:t>
      </w:r>
      <w:r>
        <w:t xml:space="preserve">issued </w:t>
      </w:r>
      <w:r w:rsidR="007840FE" w:rsidRPr="0045530E">
        <w:t>pursuant to § 200 of this title or upon request</w:t>
      </w:r>
      <w:r w:rsidR="00DF3E38" w:rsidRPr="0045530E">
        <w:t>.</w:t>
      </w:r>
    </w:p>
    <w:p w14:paraId="5008FAB8" w14:textId="77777777" w:rsidR="00675CE4" w:rsidRPr="0045530E" w:rsidRDefault="007B4EDC" w:rsidP="007B4EDC">
      <w:pPr>
        <w:jc w:val="both"/>
      </w:pPr>
      <w:r w:rsidRPr="0045530E">
        <w:rPr>
          <w:b/>
          <w:bCs/>
        </w:rPr>
        <w:t xml:space="preserve">Section </w:t>
      </w:r>
      <w:r w:rsidR="005958A4" w:rsidRPr="0045530E">
        <w:rPr>
          <w:b/>
          <w:bCs/>
        </w:rPr>
        <w:t>899</w:t>
      </w:r>
      <w:r w:rsidRPr="0045530E">
        <w:rPr>
          <w:b/>
          <w:bCs/>
        </w:rPr>
        <w:t xml:space="preserve">, </w:t>
      </w:r>
      <w:proofErr w:type="gramStart"/>
      <w:r w:rsidRPr="0045530E">
        <w:rPr>
          <w:rFonts w:ascii="Times New Roman Bold" w:hAnsi="Times New Roman Bold"/>
          <w:b/>
          <w:bCs/>
          <w:caps/>
        </w:rPr>
        <w:t>Definitions</w:t>
      </w:r>
      <w:r w:rsidR="00FA4B51" w:rsidRPr="0045530E" w:rsidDel="00FA4B51">
        <w:rPr>
          <w:b/>
          <w:bCs/>
        </w:rPr>
        <w:t xml:space="preserve"> </w:t>
      </w:r>
      <w:r w:rsidRPr="0045530E">
        <w:rPr>
          <w:b/>
          <w:bCs/>
        </w:rPr>
        <w:t>,</w:t>
      </w:r>
      <w:proofErr w:type="gramEnd"/>
      <w:r w:rsidRPr="0045530E">
        <w:rPr>
          <w:b/>
          <w:bCs/>
        </w:rPr>
        <w:t xml:space="preserve"> is amended </w:t>
      </w:r>
      <w:r w:rsidR="00675CE4" w:rsidRPr="0045530E">
        <w:rPr>
          <w:b/>
        </w:rPr>
        <w:t>by adding the following definitions</w:t>
      </w:r>
      <w:r w:rsidRPr="0045530E">
        <w:rPr>
          <w:b/>
          <w:bCs/>
        </w:rPr>
        <w:t>:</w:t>
      </w:r>
      <w:r w:rsidRPr="0045530E">
        <w:t xml:space="preserve"> </w:t>
      </w:r>
    </w:p>
    <w:p w14:paraId="0387565D" w14:textId="77777777" w:rsidR="00CF55D2" w:rsidRPr="0045530E" w:rsidRDefault="00CF55D2" w:rsidP="00260CDC"/>
    <w:p w14:paraId="7A08E860" w14:textId="77777777" w:rsidR="004F07C5" w:rsidRDefault="004F07C5" w:rsidP="007B4EDC">
      <w:pPr>
        <w:ind w:left="2160" w:hanging="720"/>
        <w:rPr>
          <w:b/>
        </w:rPr>
      </w:pPr>
      <w:r w:rsidRPr="004F07C5">
        <w:rPr>
          <w:b/>
        </w:rPr>
        <w:t xml:space="preserve">Black start engine </w:t>
      </w:r>
      <w:r w:rsidRPr="0045530E">
        <w:t>–</w:t>
      </w:r>
      <w:r w:rsidRPr="004F07C5">
        <w:rPr>
          <w:b/>
        </w:rPr>
        <w:t xml:space="preserve"> </w:t>
      </w:r>
      <w:r w:rsidRPr="00F4149F">
        <w:t>an engine whose only purpose is to start up a combustion turbine.</w:t>
      </w:r>
    </w:p>
    <w:p w14:paraId="42C7ACBA" w14:textId="77777777" w:rsidR="004F07C5" w:rsidRDefault="004F07C5" w:rsidP="007B4EDC">
      <w:pPr>
        <w:ind w:left="2160" w:hanging="720"/>
        <w:rPr>
          <w:b/>
        </w:rPr>
      </w:pPr>
    </w:p>
    <w:p w14:paraId="013A2D2C" w14:textId="77777777" w:rsidR="00CF55D2" w:rsidRPr="0045530E" w:rsidRDefault="00CF55D2" w:rsidP="007B4EDC">
      <w:pPr>
        <w:ind w:left="2160" w:hanging="720"/>
      </w:pPr>
      <w:r w:rsidRPr="0045530E">
        <w:rPr>
          <w:b/>
        </w:rPr>
        <w:t>Limited-use boiler</w:t>
      </w:r>
      <w:r w:rsidRPr="0045530E">
        <w:t xml:space="preserve"> </w:t>
      </w:r>
      <w:r w:rsidR="007B4EDC" w:rsidRPr="0045530E">
        <w:t>– any boiler that burns any amount of solid or liquid fuels and has a federally enforceable annual capacity factor of no more than 10 percent</w:t>
      </w:r>
      <w:r w:rsidR="00CC3541">
        <w:t xml:space="preserve"> (10%)</w:t>
      </w:r>
      <w:r w:rsidR="007B4EDC" w:rsidRPr="0045530E">
        <w:t>.</w:t>
      </w:r>
    </w:p>
    <w:p w14:paraId="2FE39D0B" w14:textId="77777777" w:rsidR="007B4EDC" w:rsidRPr="0045530E" w:rsidRDefault="007B4EDC" w:rsidP="007B4EDC"/>
    <w:p w14:paraId="4A0C8158" w14:textId="59BBBD37" w:rsidR="007B4EDC" w:rsidRPr="0045530E" w:rsidRDefault="007B4EDC" w:rsidP="007B4EDC">
      <w:pPr>
        <w:ind w:left="2160" w:hanging="720"/>
      </w:pPr>
      <w:r w:rsidRPr="0045530E">
        <w:rPr>
          <w:b/>
        </w:rPr>
        <w:t>Seasonal boiler</w:t>
      </w:r>
      <w:r w:rsidRPr="0045530E">
        <w:t xml:space="preserve"> – any boiler that undergoes a shutdown for a period of at least 210 consecutive days each 12-month period due to seasonal conditions, except for periodic testing. </w:t>
      </w:r>
    </w:p>
    <w:p w14:paraId="5CCAE3D9" w14:textId="77777777" w:rsidR="007B4EDC" w:rsidRPr="0045530E" w:rsidRDefault="007B4EDC" w:rsidP="007B4EDC"/>
    <w:p w14:paraId="6E93D9F0" w14:textId="77777777" w:rsidR="00F767D0" w:rsidRDefault="007B4EDC" w:rsidP="00AA1174">
      <w:pPr>
        <w:ind w:left="2160" w:hanging="720"/>
      </w:pPr>
      <w:r w:rsidRPr="0045530E">
        <w:rPr>
          <w:b/>
        </w:rPr>
        <w:t>Temporary boiler</w:t>
      </w:r>
      <w:r w:rsidRPr="0045530E">
        <w:t xml:space="preserve"> – any gaseous or liquid fuel boiler that is designed to, and is capable of, being carried or moved from one location to another by </w:t>
      </w:r>
      <w:r w:rsidR="003F3063">
        <w:t xml:space="preserve">any </w:t>
      </w:r>
      <w:r w:rsidRPr="0045530E">
        <w:t xml:space="preserve">means </w:t>
      </w:r>
      <w:r w:rsidR="003F3063">
        <w:t>including</w:t>
      </w:r>
      <w:r w:rsidRPr="0045530E">
        <w:t>, for example, wheels, skids, carrying handles, dollies, trailers, or platforms.</w:t>
      </w:r>
    </w:p>
    <w:p w14:paraId="391CD1C9" w14:textId="77777777" w:rsidR="00AA4934" w:rsidRDefault="00AA4934" w:rsidP="00AA1174">
      <w:pPr>
        <w:ind w:left="2160" w:hanging="720"/>
      </w:pPr>
    </w:p>
    <w:p w14:paraId="21A8E0C4" w14:textId="77777777" w:rsidR="00AA4934" w:rsidRPr="00734BB0" w:rsidRDefault="00AA4934" w:rsidP="00AA4934">
      <w:pPr>
        <w:jc w:val="both"/>
        <w:rPr>
          <w:b/>
        </w:rPr>
      </w:pPr>
      <w:r w:rsidRPr="005B2633">
        <w:rPr>
          <w:noProof/>
        </w:rPr>
        <w:t xml:space="preserve">All persons desiring to comment on the proposed rulemaking should file comments in writing not later than thirty (30) days after publication of this notice in the </w:t>
      </w:r>
      <w:r w:rsidRPr="005B2633">
        <w:rPr>
          <w:i/>
          <w:noProof/>
        </w:rPr>
        <w:t>D.C. Register</w:t>
      </w:r>
      <w:r w:rsidRPr="005B2633">
        <w:rPr>
          <w:noProof/>
        </w:rPr>
        <w:t>. Comments should be clearly marked “</w:t>
      </w:r>
      <w:r>
        <w:rPr>
          <w:noProof/>
        </w:rPr>
        <w:t xml:space="preserve">Public Comments: </w:t>
      </w:r>
      <w:r>
        <w:t>NOx RACT Regulations and SIP Amendments</w:t>
      </w:r>
      <w:r w:rsidRPr="005B2633">
        <w:rPr>
          <w:noProof/>
        </w:rPr>
        <w:t xml:space="preserve">” and filed with DOEE, </w:t>
      </w:r>
      <w:r>
        <w:rPr>
          <w:noProof/>
        </w:rPr>
        <w:t>Air Quality</w:t>
      </w:r>
      <w:r w:rsidRPr="005B2633">
        <w:rPr>
          <w:noProof/>
        </w:rPr>
        <w:t xml:space="preserve"> Division, 1200 First Street, N.E., </w:t>
      </w:r>
      <w:r>
        <w:rPr>
          <w:noProof/>
        </w:rPr>
        <w:t>5</w:t>
      </w:r>
      <w:r w:rsidRPr="005B2633">
        <w:rPr>
          <w:noProof/>
          <w:vertAlign w:val="superscript"/>
        </w:rPr>
        <w:t>th</w:t>
      </w:r>
      <w:r w:rsidRPr="005B2633">
        <w:rPr>
          <w:noProof/>
        </w:rPr>
        <w:t xml:space="preserve"> Floor, Washington, DC 20002, Attention: </w:t>
      </w:r>
      <w:r>
        <w:rPr>
          <w:noProof/>
        </w:rPr>
        <w:t>Joseph Jakuta</w:t>
      </w:r>
      <w:r w:rsidRPr="005B2633">
        <w:rPr>
          <w:noProof/>
        </w:rPr>
        <w:t xml:space="preserve">, or e-mailed to </w:t>
      </w:r>
      <w:hyperlink r:id="rId12" w:history="1">
        <w:r>
          <w:rPr>
            <w:rStyle w:val="Hyperlink"/>
            <w:noProof/>
          </w:rPr>
          <w:t>airqualityregulations</w:t>
        </w:r>
        <w:r w:rsidRPr="00925690">
          <w:rPr>
            <w:rStyle w:val="Hyperlink"/>
            <w:noProof/>
          </w:rPr>
          <w:t>@dc.gov</w:t>
        </w:r>
      </w:hyperlink>
      <w:r w:rsidRPr="005B2633">
        <w:rPr>
          <w:noProof/>
        </w:rPr>
        <w:t>. Copies of the above documents may be obtained from DOEE at the same address.</w:t>
      </w:r>
    </w:p>
    <w:p w14:paraId="66C38363" w14:textId="77777777" w:rsidR="00AA4934" w:rsidRPr="00AC1653" w:rsidRDefault="00AA4934" w:rsidP="00AA4934">
      <w:pPr>
        <w:ind w:left="720" w:hanging="720"/>
      </w:pPr>
    </w:p>
    <w:sectPr w:rsidR="00AA4934" w:rsidRPr="00AC1653" w:rsidSect="0006475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CD579" w14:textId="77777777" w:rsidR="00CE203B" w:rsidRDefault="00CE203B" w:rsidP="00942E8A">
      <w:r>
        <w:separator/>
      </w:r>
    </w:p>
  </w:endnote>
  <w:endnote w:type="continuationSeparator" w:id="0">
    <w:p w14:paraId="33B8FB59" w14:textId="77777777" w:rsidR="00CE203B" w:rsidRDefault="00CE203B" w:rsidP="00942E8A">
      <w:r>
        <w:continuationSeparator/>
      </w:r>
    </w:p>
  </w:endnote>
  <w:endnote w:type="continuationNotice" w:id="1">
    <w:p w14:paraId="4959EB9F" w14:textId="77777777" w:rsidR="00CE203B" w:rsidRDefault="00CE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82C5F" w14:paraId="0D566894" w14:textId="77777777" w:rsidTr="00F23909">
      <w:trPr>
        <w:trHeight w:val="151"/>
      </w:trPr>
      <w:tc>
        <w:tcPr>
          <w:tcW w:w="2250" w:type="pct"/>
        </w:tcPr>
        <w:p w14:paraId="17005E0C" w14:textId="77777777" w:rsidR="00382C5F" w:rsidRPr="00741D56" w:rsidRDefault="00382C5F">
          <w:pPr>
            <w:pStyle w:val="Header"/>
            <w:rPr>
              <w:rFonts w:ascii="Cambria" w:hAnsi="Cambria"/>
              <w:b/>
              <w:bCs/>
            </w:rPr>
          </w:pPr>
        </w:p>
      </w:tc>
      <w:tc>
        <w:tcPr>
          <w:tcW w:w="500" w:type="pct"/>
          <w:noWrap/>
        </w:tcPr>
        <w:p w14:paraId="0424B473" w14:textId="77777777" w:rsidR="00382C5F" w:rsidRPr="00741D56" w:rsidRDefault="00382C5F" w:rsidP="00072652">
          <w:pPr>
            <w:rPr>
              <w:rFonts w:ascii="Cambria" w:hAnsi="Cambria"/>
            </w:rPr>
          </w:pPr>
        </w:p>
      </w:tc>
      <w:tc>
        <w:tcPr>
          <w:tcW w:w="2250" w:type="pct"/>
        </w:tcPr>
        <w:p w14:paraId="0F2B5B33" w14:textId="77777777" w:rsidR="00382C5F" w:rsidRPr="00741D56" w:rsidRDefault="00382C5F">
          <w:pPr>
            <w:pStyle w:val="Header"/>
            <w:rPr>
              <w:rFonts w:ascii="Cambria" w:hAnsi="Cambria"/>
              <w:b/>
              <w:bCs/>
            </w:rPr>
          </w:pPr>
        </w:p>
      </w:tc>
    </w:tr>
    <w:tr w:rsidR="00382C5F" w14:paraId="4B217844" w14:textId="77777777" w:rsidTr="00F23909">
      <w:trPr>
        <w:trHeight w:val="150"/>
      </w:trPr>
      <w:tc>
        <w:tcPr>
          <w:tcW w:w="2250" w:type="pct"/>
        </w:tcPr>
        <w:p w14:paraId="46F6C052" w14:textId="77777777" w:rsidR="00382C5F" w:rsidRPr="00741D56" w:rsidRDefault="00382C5F">
          <w:pPr>
            <w:pStyle w:val="Header"/>
            <w:rPr>
              <w:rFonts w:ascii="Cambria" w:hAnsi="Cambria"/>
              <w:b/>
              <w:bCs/>
            </w:rPr>
          </w:pPr>
        </w:p>
      </w:tc>
      <w:tc>
        <w:tcPr>
          <w:tcW w:w="500" w:type="pct"/>
        </w:tcPr>
        <w:p w14:paraId="033CD95E" w14:textId="77777777" w:rsidR="00382C5F" w:rsidRPr="00741D56" w:rsidRDefault="00382C5F">
          <w:pPr>
            <w:pStyle w:val="Header"/>
            <w:jc w:val="center"/>
            <w:rPr>
              <w:rFonts w:ascii="Cambria" w:hAnsi="Cambria"/>
              <w:b/>
              <w:bCs/>
            </w:rPr>
          </w:pPr>
        </w:p>
      </w:tc>
      <w:tc>
        <w:tcPr>
          <w:tcW w:w="2250" w:type="pct"/>
        </w:tcPr>
        <w:p w14:paraId="506B9AE1" w14:textId="77777777" w:rsidR="00382C5F" w:rsidRPr="00741D56" w:rsidRDefault="00382C5F">
          <w:pPr>
            <w:pStyle w:val="Header"/>
            <w:rPr>
              <w:rFonts w:ascii="Cambria" w:hAnsi="Cambria"/>
              <w:b/>
              <w:bCs/>
            </w:rPr>
          </w:pPr>
        </w:p>
      </w:tc>
    </w:tr>
  </w:tbl>
  <w:p w14:paraId="5E0FA0F8" w14:textId="77777777" w:rsidR="00382C5F" w:rsidRDefault="0038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0EFA" w14:textId="77777777" w:rsidR="00CE203B" w:rsidRDefault="00CE203B" w:rsidP="00942E8A">
      <w:r>
        <w:separator/>
      </w:r>
    </w:p>
  </w:footnote>
  <w:footnote w:type="continuationSeparator" w:id="0">
    <w:p w14:paraId="29E62ACB" w14:textId="77777777" w:rsidR="00CE203B" w:rsidRDefault="00CE203B" w:rsidP="00942E8A">
      <w:r>
        <w:continuationSeparator/>
      </w:r>
    </w:p>
  </w:footnote>
  <w:footnote w:type="continuationNotice" w:id="1">
    <w:p w14:paraId="09B951E2" w14:textId="77777777" w:rsidR="00CE203B" w:rsidRDefault="00CE203B"/>
  </w:footnote>
  <w:footnote w:id="2">
    <w:p w14:paraId="1AC66C0F" w14:textId="20FC724A" w:rsidR="00382C5F" w:rsidRPr="0028518A" w:rsidRDefault="00382C5F" w:rsidP="000D02D9">
      <w:pPr>
        <w:pStyle w:val="FootnoteText"/>
        <w:rPr>
          <w:rFonts w:ascii="Times New Roman" w:hAnsi="Times New Roman" w:cs="Times New Roman"/>
          <w:sz w:val="20"/>
          <w:szCs w:val="20"/>
        </w:rPr>
      </w:pPr>
      <w:r w:rsidRPr="0028518A">
        <w:rPr>
          <w:rStyle w:val="FootnoteReference"/>
          <w:sz w:val="20"/>
          <w:szCs w:val="20"/>
        </w:rPr>
        <w:footnoteRef/>
      </w:r>
      <w:r w:rsidRPr="0028518A">
        <w:rPr>
          <w:rFonts w:ascii="Times New Roman" w:hAnsi="Times New Roman" w:cs="Times New Roman"/>
          <w:sz w:val="20"/>
          <w:szCs w:val="20"/>
        </w:rPr>
        <w:t xml:space="preserve">  Emission limits for fuel burning equipment powered by oil with an energy input capacity of twenty-five million (25,000,000) BTU per hour or greater and less than one hundred million (100,000,000) BTU per hour are being proposed at nine hundredths pound (0.09 lb) per million BTU, whereas the 2006 OTC model rule for this type of equipment called </w:t>
      </w:r>
      <w:r>
        <w:rPr>
          <w:rFonts w:ascii="Times New Roman" w:hAnsi="Times New Roman" w:cs="Times New Roman"/>
          <w:sz w:val="20"/>
          <w:szCs w:val="20"/>
        </w:rPr>
        <w:t xml:space="preserve">for </w:t>
      </w:r>
      <w:r w:rsidRPr="0028518A">
        <w:rPr>
          <w:rFonts w:ascii="Times New Roman" w:hAnsi="Times New Roman" w:cs="Times New Roman"/>
          <w:sz w:val="20"/>
          <w:szCs w:val="20"/>
        </w:rPr>
        <w:t xml:space="preserve">an emissions limit of eight hundredths pound (0.08 lb) per million BTU, which the Department </w:t>
      </w:r>
      <w:r>
        <w:rPr>
          <w:rFonts w:ascii="Times New Roman" w:hAnsi="Times New Roman" w:cs="Times New Roman"/>
          <w:sz w:val="20"/>
          <w:szCs w:val="20"/>
        </w:rPr>
        <w:t xml:space="preserve">finds is not </w:t>
      </w:r>
      <w:r w:rsidRPr="0028518A">
        <w:rPr>
          <w:rFonts w:ascii="Times New Roman" w:hAnsi="Times New Roman" w:cs="Times New Roman"/>
          <w:sz w:val="20"/>
          <w:szCs w:val="20"/>
        </w:rPr>
        <w:t>reasonabl</w:t>
      </w:r>
      <w:r>
        <w:rPr>
          <w:rFonts w:ascii="Times New Roman" w:hAnsi="Times New Roman" w:cs="Times New Roman"/>
          <w:sz w:val="20"/>
          <w:szCs w:val="20"/>
        </w:rPr>
        <w:t>y available</w:t>
      </w:r>
      <w:r w:rsidRPr="0028518A">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1C3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F49499FA"/>
    <w:lvl w:ilvl="0">
      <w:start w:val="1"/>
      <w:numFmt w:val="decimal"/>
      <w:pStyle w:val="Level1"/>
      <w:lvlText w:val="%1."/>
      <w:lvlJc w:val="left"/>
      <w:pPr>
        <w:tabs>
          <w:tab w:val="num" w:pos="360"/>
        </w:tabs>
        <w:ind w:left="360"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3D47AB4"/>
    <w:multiLevelType w:val="hybridMultilevel"/>
    <w:tmpl w:val="9E3AC650"/>
    <w:lvl w:ilvl="0" w:tplc="97B808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71482C"/>
    <w:multiLevelType w:val="hybridMultilevel"/>
    <w:tmpl w:val="7D5EFF84"/>
    <w:lvl w:ilvl="0" w:tplc="2D28A2B4">
      <w:start w:val="1"/>
      <w:numFmt w:val="lowerLetter"/>
      <w:lvlText w:val="(%1)"/>
      <w:lvlJc w:val="left"/>
      <w:pPr>
        <w:tabs>
          <w:tab w:val="num" w:pos="1080"/>
        </w:tabs>
        <w:ind w:left="1080" w:hanging="720"/>
      </w:pPr>
      <w:rPr>
        <w:rFonts w:cs="Times New Roman"/>
        <w:strike w:val="0"/>
        <w:dstrike w:val="0"/>
        <w:u w:val="none"/>
        <w:effect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03044FE"/>
    <w:multiLevelType w:val="hybridMultilevel"/>
    <w:tmpl w:val="D3701ADA"/>
    <w:lvl w:ilvl="0" w:tplc="CB1A18D6">
      <w:start w:val="1"/>
      <w:numFmt w:val="lowerLetter"/>
      <w:lvlText w:val="(%1)"/>
      <w:lvlJc w:val="left"/>
      <w:pPr>
        <w:tabs>
          <w:tab w:val="num" w:pos="1440"/>
        </w:tabs>
        <w:ind w:left="1440" w:hanging="720"/>
      </w:pPr>
      <w:rPr>
        <w:rFonts w:cs="Times New Roman"/>
        <w:strike w:val="0"/>
        <w:dstrike w:val="0"/>
        <w:u w:val="none"/>
        <w:effect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3311D"/>
    <w:multiLevelType w:val="hybridMultilevel"/>
    <w:tmpl w:val="9AC60AE6"/>
    <w:lvl w:ilvl="0" w:tplc="F8B6E12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F234B35"/>
    <w:multiLevelType w:val="hybridMultilevel"/>
    <w:tmpl w:val="A6964834"/>
    <w:lvl w:ilvl="0" w:tplc="F3C21068">
      <w:start w:val="2"/>
      <w:numFmt w:val="decimal"/>
      <w:lvlText w:val="(%1)"/>
      <w:lvlJc w:val="left"/>
      <w:pPr>
        <w:tabs>
          <w:tab w:val="num" w:pos="1800"/>
        </w:tabs>
        <w:ind w:left="1800" w:hanging="108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39379A5"/>
    <w:multiLevelType w:val="hybridMultilevel"/>
    <w:tmpl w:val="90407E1A"/>
    <w:lvl w:ilvl="0" w:tplc="05D86E68">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7DE1945"/>
    <w:multiLevelType w:val="hybridMultilevel"/>
    <w:tmpl w:val="F12CBAE0"/>
    <w:lvl w:ilvl="0" w:tplc="A5E4A35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F2B4B77"/>
    <w:multiLevelType w:val="hybridMultilevel"/>
    <w:tmpl w:val="0D48C652"/>
    <w:lvl w:ilvl="0" w:tplc="D464B84A">
      <w:start w:val="1"/>
      <w:numFmt w:val="lowerLetter"/>
      <w:lvlText w:val="(%1)"/>
      <w:lvlJc w:val="left"/>
      <w:pPr>
        <w:tabs>
          <w:tab w:val="num" w:pos="1080"/>
        </w:tabs>
        <w:ind w:left="1080" w:hanging="720"/>
      </w:pPr>
      <w:rPr>
        <w:rFonts w:cs="Times New Roman"/>
        <w:strike w:val="0"/>
        <w:dstrike w:val="0"/>
        <w:u w:val="none"/>
        <w:effect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51358D0"/>
    <w:multiLevelType w:val="hybridMultilevel"/>
    <w:tmpl w:val="2BF4BC1E"/>
    <w:lvl w:ilvl="0" w:tplc="6C628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AA04720"/>
    <w:multiLevelType w:val="hybridMultilevel"/>
    <w:tmpl w:val="E60267C6"/>
    <w:lvl w:ilvl="0" w:tplc="B60208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F8169B0"/>
    <w:multiLevelType w:val="hybridMultilevel"/>
    <w:tmpl w:val="F5ECE890"/>
    <w:lvl w:ilvl="0" w:tplc="05D86E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A9877B7"/>
    <w:multiLevelType w:val="hybridMultilevel"/>
    <w:tmpl w:val="20BE9D30"/>
    <w:lvl w:ilvl="0" w:tplc="5E08C6C6">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53FA6C05"/>
    <w:multiLevelType w:val="hybridMultilevel"/>
    <w:tmpl w:val="B788852E"/>
    <w:lvl w:ilvl="0" w:tplc="05D86E68">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7244BD0"/>
    <w:multiLevelType w:val="hybridMultilevel"/>
    <w:tmpl w:val="AF5E2286"/>
    <w:lvl w:ilvl="0" w:tplc="B14895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CF40AE"/>
    <w:multiLevelType w:val="hybridMultilevel"/>
    <w:tmpl w:val="A168A05A"/>
    <w:lvl w:ilvl="0" w:tplc="A53C98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A91265D"/>
    <w:multiLevelType w:val="hybridMultilevel"/>
    <w:tmpl w:val="9C3C3C56"/>
    <w:lvl w:ilvl="0" w:tplc="3C141928">
      <w:start w:val="733"/>
      <w:numFmt w:val="decimal"/>
      <w:pStyle w:val="Heading9"/>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18C114C"/>
    <w:multiLevelType w:val="hybridMultilevel"/>
    <w:tmpl w:val="6528402E"/>
    <w:lvl w:ilvl="0" w:tplc="05D86E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748E5"/>
    <w:multiLevelType w:val="hybridMultilevel"/>
    <w:tmpl w:val="1CE005D4"/>
    <w:lvl w:ilvl="0" w:tplc="C288757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925616"/>
    <w:multiLevelType w:val="hybridMultilevel"/>
    <w:tmpl w:val="66CE6CBC"/>
    <w:lvl w:ilvl="0" w:tplc="36CA39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AF45E20"/>
    <w:multiLevelType w:val="hybridMultilevel"/>
    <w:tmpl w:val="B5029B1A"/>
    <w:lvl w:ilvl="0" w:tplc="5742DB4C">
      <w:start w:val="2"/>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730021E3"/>
    <w:multiLevelType w:val="hybridMultilevel"/>
    <w:tmpl w:val="E0DCD864"/>
    <w:lvl w:ilvl="0" w:tplc="1E9ED35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75A57DD7"/>
    <w:multiLevelType w:val="hybridMultilevel"/>
    <w:tmpl w:val="02CCA9A0"/>
    <w:lvl w:ilvl="0" w:tplc="6B4C9C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7DC6799B"/>
    <w:multiLevelType w:val="hybridMultilevel"/>
    <w:tmpl w:val="2BC441B6"/>
    <w:lvl w:ilvl="0" w:tplc="E4AC21E8">
      <w:start w:val="1"/>
      <w:numFmt w:val="lowerLetter"/>
      <w:lvlText w:val="(%1)"/>
      <w:lvlJc w:val="left"/>
      <w:pPr>
        <w:tabs>
          <w:tab w:val="num" w:pos="1095"/>
        </w:tabs>
        <w:ind w:left="1095" w:hanging="375"/>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7F065AE0"/>
    <w:multiLevelType w:val="hybridMultilevel"/>
    <w:tmpl w:val="8DCA2284"/>
    <w:lvl w:ilvl="0" w:tplc="4F76C2A4">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9"/>
  </w:num>
  <w:num w:numId="2">
    <w:abstractNumId w:val="23"/>
  </w:num>
  <w:num w:numId="3">
    <w:abstractNumId w:val="5"/>
  </w:num>
  <w:num w:numId="4">
    <w:abstractNumId w:val="20"/>
  </w:num>
  <w:num w:numId="5">
    <w:abstractNumId w:val="18"/>
  </w:num>
  <w:num w:numId="6">
    <w:abstractNumId w:val="1"/>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9"/>
  </w:num>
  <w:num w:numId="17">
    <w:abstractNumId w:val="13"/>
  </w:num>
  <w:num w:numId="18">
    <w:abstractNumId w:val="14"/>
  </w:num>
  <w:num w:numId="19">
    <w:abstractNumId w:val="6"/>
  </w:num>
  <w:num w:numId="20">
    <w:abstractNumId w:val="22"/>
  </w:num>
  <w:num w:numId="21">
    <w:abstractNumId w:val="24"/>
  </w:num>
  <w:num w:numId="22">
    <w:abstractNumId w:val="12"/>
  </w:num>
  <w:num w:numId="23">
    <w:abstractNumId w:val="26"/>
  </w:num>
  <w:num w:numId="24">
    <w:abstractNumId w:val="11"/>
  </w:num>
  <w:num w:numId="25">
    <w:abstractNumId w:val="8"/>
  </w:num>
  <w:num w:numId="26">
    <w:abstractNumId w:val="15"/>
  </w:num>
  <w:num w:numId="27">
    <w:abstractNumId w:val="27"/>
  </w:num>
  <w:num w:numId="28">
    <w:abstractNumId w:val="2"/>
  </w:num>
  <w:num w:numId="29">
    <w:abstractNumId w:val="21"/>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D0"/>
    <w:rsid w:val="00001240"/>
    <w:rsid w:val="00002341"/>
    <w:rsid w:val="00004B2E"/>
    <w:rsid w:val="00005331"/>
    <w:rsid w:val="00010461"/>
    <w:rsid w:val="00010E51"/>
    <w:rsid w:val="00017B13"/>
    <w:rsid w:val="0002693E"/>
    <w:rsid w:val="00027FDE"/>
    <w:rsid w:val="00041385"/>
    <w:rsid w:val="00042818"/>
    <w:rsid w:val="00044FC5"/>
    <w:rsid w:val="00054A50"/>
    <w:rsid w:val="00056BB6"/>
    <w:rsid w:val="0006253F"/>
    <w:rsid w:val="0006475A"/>
    <w:rsid w:val="00070223"/>
    <w:rsid w:val="000716FD"/>
    <w:rsid w:val="00071A1E"/>
    <w:rsid w:val="00072652"/>
    <w:rsid w:val="000747C2"/>
    <w:rsid w:val="000778E7"/>
    <w:rsid w:val="00091EEF"/>
    <w:rsid w:val="000A266C"/>
    <w:rsid w:val="000B4DE3"/>
    <w:rsid w:val="000B6FEE"/>
    <w:rsid w:val="000C009B"/>
    <w:rsid w:val="000C55E1"/>
    <w:rsid w:val="000C55FF"/>
    <w:rsid w:val="000C6CAD"/>
    <w:rsid w:val="000C6CB3"/>
    <w:rsid w:val="000D02D9"/>
    <w:rsid w:val="000D0415"/>
    <w:rsid w:val="000D3099"/>
    <w:rsid w:val="000D414E"/>
    <w:rsid w:val="000D500C"/>
    <w:rsid w:val="000E0A90"/>
    <w:rsid w:val="000E10E5"/>
    <w:rsid w:val="000E1A0A"/>
    <w:rsid w:val="000E4A3D"/>
    <w:rsid w:val="000E77CA"/>
    <w:rsid w:val="000F0D2D"/>
    <w:rsid w:val="000F662E"/>
    <w:rsid w:val="000F7D19"/>
    <w:rsid w:val="00100AA3"/>
    <w:rsid w:val="0010292E"/>
    <w:rsid w:val="0010439F"/>
    <w:rsid w:val="00106D5D"/>
    <w:rsid w:val="00117501"/>
    <w:rsid w:val="001227D2"/>
    <w:rsid w:val="00123E4B"/>
    <w:rsid w:val="001259C9"/>
    <w:rsid w:val="00131E2D"/>
    <w:rsid w:val="00152DCC"/>
    <w:rsid w:val="00157953"/>
    <w:rsid w:val="00166E59"/>
    <w:rsid w:val="00170A35"/>
    <w:rsid w:val="001714D3"/>
    <w:rsid w:val="001775FD"/>
    <w:rsid w:val="001919AA"/>
    <w:rsid w:val="00193898"/>
    <w:rsid w:val="001A6820"/>
    <w:rsid w:val="001B1866"/>
    <w:rsid w:val="001C04AA"/>
    <w:rsid w:val="001C1C65"/>
    <w:rsid w:val="001D0DF6"/>
    <w:rsid w:val="001D180A"/>
    <w:rsid w:val="001D4D51"/>
    <w:rsid w:val="001E128B"/>
    <w:rsid w:val="001F0B5B"/>
    <w:rsid w:val="0020140B"/>
    <w:rsid w:val="00201F88"/>
    <w:rsid w:val="00201FD1"/>
    <w:rsid w:val="00215C7F"/>
    <w:rsid w:val="00225D31"/>
    <w:rsid w:val="00237EF9"/>
    <w:rsid w:val="00241EB9"/>
    <w:rsid w:val="00254D50"/>
    <w:rsid w:val="00260CDC"/>
    <w:rsid w:val="00262C52"/>
    <w:rsid w:val="00262E70"/>
    <w:rsid w:val="00265D42"/>
    <w:rsid w:val="00266418"/>
    <w:rsid w:val="0027082D"/>
    <w:rsid w:val="00272052"/>
    <w:rsid w:val="00273D07"/>
    <w:rsid w:val="00281119"/>
    <w:rsid w:val="0028518A"/>
    <w:rsid w:val="00287740"/>
    <w:rsid w:val="00294EBC"/>
    <w:rsid w:val="002A0316"/>
    <w:rsid w:val="002A045C"/>
    <w:rsid w:val="002A18E2"/>
    <w:rsid w:val="002A351E"/>
    <w:rsid w:val="002A5E0D"/>
    <w:rsid w:val="002C3D94"/>
    <w:rsid w:val="002C4F1A"/>
    <w:rsid w:val="002C5CEB"/>
    <w:rsid w:val="002C6D87"/>
    <w:rsid w:val="002D2597"/>
    <w:rsid w:val="002D3536"/>
    <w:rsid w:val="002D3975"/>
    <w:rsid w:val="002D703B"/>
    <w:rsid w:val="002E0356"/>
    <w:rsid w:val="002E0888"/>
    <w:rsid w:val="002E186D"/>
    <w:rsid w:val="002E2BF1"/>
    <w:rsid w:val="002E3686"/>
    <w:rsid w:val="002E745A"/>
    <w:rsid w:val="002F0F3C"/>
    <w:rsid w:val="002F1804"/>
    <w:rsid w:val="002F497B"/>
    <w:rsid w:val="002F7005"/>
    <w:rsid w:val="0030350F"/>
    <w:rsid w:val="00304DFE"/>
    <w:rsid w:val="00305967"/>
    <w:rsid w:val="00307637"/>
    <w:rsid w:val="00313645"/>
    <w:rsid w:val="0031614E"/>
    <w:rsid w:val="00320C94"/>
    <w:rsid w:val="003301F9"/>
    <w:rsid w:val="00334733"/>
    <w:rsid w:val="00343883"/>
    <w:rsid w:val="00346907"/>
    <w:rsid w:val="00346C28"/>
    <w:rsid w:val="00352596"/>
    <w:rsid w:val="00353A47"/>
    <w:rsid w:val="003578FB"/>
    <w:rsid w:val="00362294"/>
    <w:rsid w:val="003641CD"/>
    <w:rsid w:val="00367499"/>
    <w:rsid w:val="00370DF9"/>
    <w:rsid w:val="00382C5F"/>
    <w:rsid w:val="0039602F"/>
    <w:rsid w:val="00397EE8"/>
    <w:rsid w:val="003A48F6"/>
    <w:rsid w:val="003A4A25"/>
    <w:rsid w:val="003B0FBA"/>
    <w:rsid w:val="003B36A1"/>
    <w:rsid w:val="003B77E5"/>
    <w:rsid w:val="003B780C"/>
    <w:rsid w:val="003C4757"/>
    <w:rsid w:val="003C4AD4"/>
    <w:rsid w:val="003D1FD9"/>
    <w:rsid w:val="003D311E"/>
    <w:rsid w:val="003D6101"/>
    <w:rsid w:val="003D72EF"/>
    <w:rsid w:val="003E2E64"/>
    <w:rsid w:val="003E7625"/>
    <w:rsid w:val="003F2380"/>
    <w:rsid w:val="003F3063"/>
    <w:rsid w:val="003F49F1"/>
    <w:rsid w:val="003F4A1B"/>
    <w:rsid w:val="004021A8"/>
    <w:rsid w:val="00402917"/>
    <w:rsid w:val="00404153"/>
    <w:rsid w:val="0041164F"/>
    <w:rsid w:val="004127EC"/>
    <w:rsid w:val="00417299"/>
    <w:rsid w:val="00417F68"/>
    <w:rsid w:val="00426F27"/>
    <w:rsid w:val="00431A5F"/>
    <w:rsid w:val="0043325A"/>
    <w:rsid w:val="00433B28"/>
    <w:rsid w:val="00434349"/>
    <w:rsid w:val="004417D0"/>
    <w:rsid w:val="004472EC"/>
    <w:rsid w:val="00453789"/>
    <w:rsid w:val="0045530E"/>
    <w:rsid w:val="004579BB"/>
    <w:rsid w:val="0046436B"/>
    <w:rsid w:val="00464FB3"/>
    <w:rsid w:val="00466525"/>
    <w:rsid w:val="00467135"/>
    <w:rsid w:val="00472C29"/>
    <w:rsid w:val="0047518C"/>
    <w:rsid w:val="0047788F"/>
    <w:rsid w:val="00481130"/>
    <w:rsid w:val="004950E0"/>
    <w:rsid w:val="00495A88"/>
    <w:rsid w:val="004965BE"/>
    <w:rsid w:val="00497572"/>
    <w:rsid w:val="004A0020"/>
    <w:rsid w:val="004A0B0C"/>
    <w:rsid w:val="004A10C5"/>
    <w:rsid w:val="004A4DB1"/>
    <w:rsid w:val="004B1630"/>
    <w:rsid w:val="004B4EAF"/>
    <w:rsid w:val="004C6E92"/>
    <w:rsid w:val="004D0733"/>
    <w:rsid w:val="004D169D"/>
    <w:rsid w:val="004D3C0B"/>
    <w:rsid w:val="004E2EB4"/>
    <w:rsid w:val="004E67CA"/>
    <w:rsid w:val="004E75D4"/>
    <w:rsid w:val="004F07C5"/>
    <w:rsid w:val="004F61B1"/>
    <w:rsid w:val="004F6C6D"/>
    <w:rsid w:val="00501B80"/>
    <w:rsid w:val="005146A1"/>
    <w:rsid w:val="00523D2F"/>
    <w:rsid w:val="00527986"/>
    <w:rsid w:val="005344A1"/>
    <w:rsid w:val="005374F0"/>
    <w:rsid w:val="0054342A"/>
    <w:rsid w:val="00543719"/>
    <w:rsid w:val="005448EF"/>
    <w:rsid w:val="00544C7F"/>
    <w:rsid w:val="00545DDD"/>
    <w:rsid w:val="0055386C"/>
    <w:rsid w:val="00554B72"/>
    <w:rsid w:val="00556302"/>
    <w:rsid w:val="00561F51"/>
    <w:rsid w:val="00564DFC"/>
    <w:rsid w:val="00567FA4"/>
    <w:rsid w:val="00572936"/>
    <w:rsid w:val="00576D84"/>
    <w:rsid w:val="00586AB3"/>
    <w:rsid w:val="00586C3B"/>
    <w:rsid w:val="0059112D"/>
    <w:rsid w:val="005958A4"/>
    <w:rsid w:val="00596289"/>
    <w:rsid w:val="005A23FF"/>
    <w:rsid w:val="005A47BA"/>
    <w:rsid w:val="005B1B6D"/>
    <w:rsid w:val="005B2CB2"/>
    <w:rsid w:val="005B3F50"/>
    <w:rsid w:val="005B52C9"/>
    <w:rsid w:val="005B56EE"/>
    <w:rsid w:val="005B6EB8"/>
    <w:rsid w:val="005C072F"/>
    <w:rsid w:val="005C3925"/>
    <w:rsid w:val="005D3DE8"/>
    <w:rsid w:val="005D4FEA"/>
    <w:rsid w:val="005D65C3"/>
    <w:rsid w:val="005E20BD"/>
    <w:rsid w:val="005E2B8D"/>
    <w:rsid w:val="005E37B1"/>
    <w:rsid w:val="005E62D3"/>
    <w:rsid w:val="005F04FB"/>
    <w:rsid w:val="005F08CF"/>
    <w:rsid w:val="005F65DC"/>
    <w:rsid w:val="005F6E06"/>
    <w:rsid w:val="00600972"/>
    <w:rsid w:val="00601C0B"/>
    <w:rsid w:val="00605491"/>
    <w:rsid w:val="00607512"/>
    <w:rsid w:val="0061146D"/>
    <w:rsid w:val="00616C25"/>
    <w:rsid w:val="00617151"/>
    <w:rsid w:val="006278BE"/>
    <w:rsid w:val="00632580"/>
    <w:rsid w:val="0063311D"/>
    <w:rsid w:val="00635814"/>
    <w:rsid w:val="00641A2D"/>
    <w:rsid w:val="00645617"/>
    <w:rsid w:val="0065246D"/>
    <w:rsid w:val="00656A7F"/>
    <w:rsid w:val="006600BA"/>
    <w:rsid w:val="00660220"/>
    <w:rsid w:val="006612CE"/>
    <w:rsid w:val="006744CC"/>
    <w:rsid w:val="00675CE4"/>
    <w:rsid w:val="00680A10"/>
    <w:rsid w:val="00681148"/>
    <w:rsid w:val="0068416B"/>
    <w:rsid w:val="0068529C"/>
    <w:rsid w:val="00692D8D"/>
    <w:rsid w:val="00697E96"/>
    <w:rsid w:val="006A2587"/>
    <w:rsid w:val="006B19CB"/>
    <w:rsid w:val="006C2018"/>
    <w:rsid w:val="006C24A6"/>
    <w:rsid w:val="006C439C"/>
    <w:rsid w:val="006C5225"/>
    <w:rsid w:val="006E4931"/>
    <w:rsid w:val="006E6D2D"/>
    <w:rsid w:val="006F163C"/>
    <w:rsid w:val="006F3A12"/>
    <w:rsid w:val="006F5669"/>
    <w:rsid w:val="006F5A81"/>
    <w:rsid w:val="00702DBC"/>
    <w:rsid w:val="00704D67"/>
    <w:rsid w:val="00706C28"/>
    <w:rsid w:val="00712669"/>
    <w:rsid w:val="007134DF"/>
    <w:rsid w:val="00717888"/>
    <w:rsid w:val="00724288"/>
    <w:rsid w:val="00732D2C"/>
    <w:rsid w:val="00741D56"/>
    <w:rsid w:val="0074202C"/>
    <w:rsid w:val="00743937"/>
    <w:rsid w:val="007517D9"/>
    <w:rsid w:val="00754151"/>
    <w:rsid w:val="00756413"/>
    <w:rsid w:val="0076186E"/>
    <w:rsid w:val="00761887"/>
    <w:rsid w:val="0077043E"/>
    <w:rsid w:val="00775316"/>
    <w:rsid w:val="007840FE"/>
    <w:rsid w:val="007938B7"/>
    <w:rsid w:val="00794145"/>
    <w:rsid w:val="00796657"/>
    <w:rsid w:val="007B4EDC"/>
    <w:rsid w:val="007C0D29"/>
    <w:rsid w:val="007C146E"/>
    <w:rsid w:val="007E02F7"/>
    <w:rsid w:val="007E14C2"/>
    <w:rsid w:val="007E7EC5"/>
    <w:rsid w:val="007F35FF"/>
    <w:rsid w:val="00800432"/>
    <w:rsid w:val="008017E7"/>
    <w:rsid w:val="00801A84"/>
    <w:rsid w:val="008031C6"/>
    <w:rsid w:val="00804E2D"/>
    <w:rsid w:val="008126B5"/>
    <w:rsid w:val="00814776"/>
    <w:rsid w:val="0082064B"/>
    <w:rsid w:val="00837BB1"/>
    <w:rsid w:val="00852DE5"/>
    <w:rsid w:val="00854159"/>
    <w:rsid w:val="00862177"/>
    <w:rsid w:val="00864D5C"/>
    <w:rsid w:val="00866644"/>
    <w:rsid w:val="00871323"/>
    <w:rsid w:val="008713CB"/>
    <w:rsid w:val="008743DB"/>
    <w:rsid w:val="00874EF1"/>
    <w:rsid w:val="008758F2"/>
    <w:rsid w:val="00875CF0"/>
    <w:rsid w:val="008773DB"/>
    <w:rsid w:val="0088152D"/>
    <w:rsid w:val="00881CB5"/>
    <w:rsid w:val="00884257"/>
    <w:rsid w:val="008864B0"/>
    <w:rsid w:val="0089196E"/>
    <w:rsid w:val="00895200"/>
    <w:rsid w:val="0089593B"/>
    <w:rsid w:val="008A253D"/>
    <w:rsid w:val="008A4427"/>
    <w:rsid w:val="008A4BC8"/>
    <w:rsid w:val="008A508E"/>
    <w:rsid w:val="008A6525"/>
    <w:rsid w:val="008B754D"/>
    <w:rsid w:val="008C0822"/>
    <w:rsid w:val="008C260E"/>
    <w:rsid w:val="008C58DF"/>
    <w:rsid w:val="008C630B"/>
    <w:rsid w:val="008C6BC2"/>
    <w:rsid w:val="008C6E88"/>
    <w:rsid w:val="008C6FBD"/>
    <w:rsid w:val="008D2716"/>
    <w:rsid w:val="008D3A25"/>
    <w:rsid w:val="008D5766"/>
    <w:rsid w:val="008D70EF"/>
    <w:rsid w:val="008E1EB5"/>
    <w:rsid w:val="008F3E84"/>
    <w:rsid w:val="008F5177"/>
    <w:rsid w:val="00901B0B"/>
    <w:rsid w:val="00902425"/>
    <w:rsid w:val="00903B47"/>
    <w:rsid w:val="00905CC8"/>
    <w:rsid w:val="0091377D"/>
    <w:rsid w:val="009164E1"/>
    <w:rsid w:val="00916CFC"/>
    <w:rsid w:val="009208C2"/>
    <w:rsid w:val="009222F4"/>
    <w:rsid w:val="00922B8D"/>
    <w:rsid w:val="00932B43"/>
    <w:rsid w:val="00934877"/>
    <w:rsid w:val="00935F6C"/>
    <w:rsid w:val="00940DCD"/>
    <w:rsid w:val="00942E8A"/>
    <w:rsid w:val="009456C5"/>
    <w:rsid w:val="009470C4"/>
    <w:rsid w:val="009514F7"/>
    <w:rsid w:val="00954301"/>
    <w:rsid w:val="009552CD"/>
    <w:rsid w:val="00965C5C"/>
    <w:rsid w:val="0097653B"/>
    <w:rsid w:val="00977D84"/>
    <w:rsid w:val="009832BA"/>
    <w:rsid w:val="00984BD5"/>
    <w:rsid w:val="009901F0"/>
    <w:rsid w:val="00991218"/>
    <w:rsid w:val="00991D57"/>
    <w:rsid w:val="00997321"/>
    <w:rsid w:val="009A40C8"/>
    <w:rsid w:val="009A498D"/>
    <w:rsid w:val="009B0078"/>
    <w:rsid w:val="009B3523"/>
    <w:rsid w:val="009C0BF9"/>
    <w:rsid w:val="009C35A2"/>
    <w:rsid w:val="009C4A5E"/>
    <w:rsid w:val="009D0C52"/>
    <w:rsid w:val="009D1940"/>
    <w:rsid w:val="009D5815"/>
    <w:rsid w:val="009D7F86"/>
    <w:rsid w:val="009E0B2D"/>
    <w:rsid w:val="009F201C"/>
    <w:rsid w:val="009F6EFB"/>
    <w:rsid w:val="00A0117C"/>
    <w:rsid w:val="00A0193B"/>
    <w:rsid w:val="00A13008"/>
    <w:rsid w:val="00A14358"/>
    <w:rsid w:val="00A242BF"/>
    <w:rsid w:val="00A348DC"/>
    <w:rsid w:val="00A41379"/>
    <w:rsid w:val="00A46455"/>
    <w:rsid w:val="00A46DEE"/>
    <w:rsid w:val="00A553B7"/>
    <w:rsid w:val="00A559A2"/>
    <w:rsid w:val="00A622CD"/>
    <w:rsid w:val="00A62FC5"/>
    <w:rsid w:val="00A72D8A"/>
    <w:rsid w:val="00A839EF"/>
    <w:rsid w:val="00A83B35"/>
    <w:rsid w:val="00A84809"/>
    <w:rsid w:val="00A8633F"/>
    <w:rsid w:val="00A91DA9"/>
    <w:rsid w:val="00A92AB2"/>
    <w:rsid w:val="00A94BC7"/>
    <w:rsid w:val="00AA1174"/>
    <w:rsid w:val="00AA1B37"/>
    <w:rsid w:val="00AA4934"/>
    <w:rsid w:val="00AA6E27"/>
    <w:rsid w:val="00AB1F89"/>
    <w:rsid w:val="00AB2D5E"/>
    <w:rsid w:val="00AB2FA7"/>
    <w:rsid w:val="00AB548F"/>
    <w:rsid w:val="00AB645D"/>
    <w:rsid w:val="00AC1653"/>
    <w:rsid w:val="00AE62F9"/>
    <w:rsid w:val="00AF05DE"/>
    <w:rsid w:val="00AF2519"/>
    <w:rsid w:val="00AF5214"/>
    <w:rsid w:val="00AF587A"/>
    <w:rsid w:val="00AF6F45"/>
    <w:rsid w:val="00B037B1"/>
    <w:rsid w:val="00B06FB5"/>
    <w:rsid w:val="00B2332B"/>
    <w:rsid w:val="00B2656F"/>
    <w:rsid w:val="00B3191C"/>
    <w:rsid w:val="00B31E77"/>
    <w:rsid w:val="00B359AA"/>
    <w:rsid w:val="00B36AAA"/>
    <w:rsid w:val="00B46A76"/>
    <w:rsid w:val="00B479CD"/>
    <w:rsid w:val="00B607A0"/>
    <w:rsid w:val="00B61B93"/>
    <w:rsid w:val="00B627C7"/>
    <w:rsid w:val="00B646E7"/>
    <w:rsid w:val="00B722CA"/>
    <w:rsid w:val="00B80608"/>
    <w:rsid w:val="00B91BCE"/>
    <w:rsid w:val="00B92666"/>
    <w:rsid w:val="00B9286A"/>
    <w:rsid w:val="00B96AD9"/>
    <w:rsid w:val="00BA0E8A"/>
    <w:rsid w:val="00BA4227"/>
    <w:rsid w:val="00BC13A9"/>
    <w:rsid w:val="00BC1568"/>
    <w:rsid w:val="00BC27D1"/>
    <w:rsid w:val="00BC28B6"/>
    <w:rsid w:val="00BC6152"/>
    <w:rsid w:val="00BC796E"/>
    <w:rsid w:val="00BD15D5"/>
    <w:rsid w:val="00BD2E11"/>
    <w:rsid w:val="00BD39E5"/>
    <w:rsid w:val="00BD3FB0"/>
    <w:rsid w:val="00BD4143"/>
    <w:rsid w:val="00BD7743"/>
    <w:rsid w:val="00BE2D0F"/>
    <w:rsid w:val="00BE432B"/>
    <w:rsid w:val="00BF1FB6"/>
    <w:rsid w:val="00BF797B"/>
    <w:rsid w:val="00C01DE4"/>
    <w:rsid w:val="00C034B1"/>
    <w:rsid w:val="00C04BDE"/>
    <w:rsid w:val="00C1392C"/>
    <w:rsid w:val="00C23502"/>
    <w:rsid w:val="00C250DB"/>
    <w:rsid w:val="00C2760F"/>
    <w:rsid w:val="00C308C7"/>
    <w:rsid w:val="00C4123F"/>
    <w:rsid w:val="00C42DDB"/>
    <w:rsid w:val="00C44375"/>
    <w:rsid w:val="00C44D3C"/>
    <w:rsid w:val="00C463A7"/>
    <w:rsid w:val="00C5401F"/>
    <w:rsid w:val="00C64AAB"/>
    <w:rsid w:val="00C70C93"/>
    <w:rsid w:val="00C7335A"/>
    <w:rsid w:val="00C749B6"/>
    <w:rsid w:val="00C7644F"/>
    <w:rsid w:val="00C77344"/>
    <w:rsid w:val="00C775EB"/>
    <w:rsid w:val="00C777D3"/>
    <w:rsid w:val="00C8055F"/>
    <w:rsid w:val="00C8399D"/>
    <w:rsid w:val="00C92DCF"/>
    <w:rsid w:val="00C97E64"/>
    <w:rsid w:val="00CA22FD"/>
    <w:rsid w:val="00CA5175"/>
    <w:rsid w:val="00CB060E"/>
    <w:rsid w:val="00CB1586"/>
    <w:rsid w:val="00CB346C"/>
    <w:rsid w:val="00CC2FCC"/>
    <w:rsid w:val="00CC3541"/>
    <w:rsid w:val="00CC4ACC"/>
    <w:rsid w:val="00CC4E33"/>
    <w:rsid w:val="00CC5725"/>
    <w:rsid w:val="00CC719F"/>
    <w:rsid w:val="00CD3E64"/>
    <w:rsid w:val="00CD415F"/>
    <w:rsid w:val="00CD63E7"/>
    <w:rsid w:val="00CD715A"/>
    <w:rsid w:val="00CE203B"/>
    <w:rsid w:val="00CE371E"/>
    <w:rsid w:val="00CE4725"/>
    <w:rsid w:val="00CE4FA1"/>
    <w:rsid w:val="00CE591A"/>
    <w:rsid w:val="00CF04C8"/>
    <w:rsid w:val="00CF55D2"/>
    <w:rsid w:val="00D07E73"/>
    <w:rsid w:val="00D101EF"/>
    <w:rsid w:val="00D17E9B"/>
    <w:rsid w:val="00D30303"/>
    <w:rsid w:val="00D416F9"/>
    <w:rsid w:val="00D41F90"/>
    <w:rsid w:val="00D4369C"/>
    <w:rsid w:val="00D47784"/>
    <w:rsid w:val="00D5059F"/>
    <w:rsid w:val="00D537C7"/>
    <w:rsid w:val="00D577DD"/>
    <w:rsid w:val="00D57C6A"/>
    <w:rsid w:val="00D64ACE"/>
    <w:rsid w:val="00D66076"/>
    <w:rsid w:val="00D667C6"/>
    <w:rsid w:val="00D66A1B"/>
    <w:rsid w:val="00D719CF"/>
    <w:rsid w:val="00D77B5F"/>
    <w:rsid w:val="00D8385A"/>
    <w:rsid w:val="00D8577E"/>
    <w:rsid w:val="00D92C19"/>
    <w:rsid w:val="00D95298"/>
    <w:rsid w:val="00D95595"/>
    <w:rsid w:val="00DA17FF"/>
    <w:rsid w:val="00DA733A"/>
    <w:rsid w:val="00DB0C41"/>
    <w:rsid w:val="00DB1F9A"/>
    <w:rsid w:val="00DC12D9"/>
    <w:rsid w:val="00DC6621"/>
    <w:rsid w:val="00DD1537"/>
    <w:rsid w:val="00DE7402"/>
    <w:rsid w:val="00DF156B"/>
    <w:rsid w:val="00DF187A"/>
    <w:rsid w:val="00DF3E38"/>
    <w:rsid w:val="00DF420E"/>
    <w:rsid w:val="00DF6DF3"/>
    <w:rsid w:val="00E10C73"/>
    <w:rsid w:val="00E22953"/>
    <w:rsid w:val="00E2445B"/>
    <w:rsid w:val="00E33C88"/>
    <w:rsid w:val="00E34D73"/>
    <w:rsid w:val="00E35274"/>
    <w:rsid w:val="00E374F0"/>
    <w:rsid w:val="00E40AF9"/>
    <w:rsid w:val="00E4380D"/>
    <w:rsid w:val="00E44E98"/>
    <w:rsid w:val="00E65A53"/>
    <w:rsid w:val="00E66859"/>
    <w:rsid w:val="00E746DF"/>
    <w:rsid w:val="00E76013"/>
    <w:rsid w:val="00E767DB"/>
    <w:rsid w:val="00E76CEE"/>
    <w:rsid w:val="00E7709A"/>
    <w:rsid w:val="00E80494"/>
    <w:rsid w:val="00E81D11"/>
    <w:rsid w:val="00E826FE"/>
    <w:rsid w:val="00E8399F"/>
    <w:rsid w:val="00EA1BF3"/>
    <w:rsid w:val="00EA5C55"/>
    <w:rsid w:val="00EA7141"/>
    <w:rsid w:val="00EA7A4C"/>
    <w:rsid w:val="00EB23A2"/>
    <w:rsid w:val="00EE340F"/>
    <w:rsid w:val="00EE76A9"/>
    <w:rsid w:val="00EF18FD"/>
    <w:rsid w:val="00F008E1"/>
    <w:rsid w:val="00F054FE"/>
    <w:rsid w:val="00F11310"/>
    <w:rsid w:val="00F1235E"/>
    <w:rsid w:val="00F17BDA"/>
    <w:rsid w:val="00F23909"/>
    <w:rsid w:val="00F348D7"/>
    <w:rsid w:val="00F4149F"/>
    <w:rsid w:val="00F43730"/>
    <w:rsid w:val="00F47763"/>
    <w:rsid w:val="00F55F7A"/>
    <w:rsid w:val="00F61B1C"/>
    <w:rsid w:val="00F61B7C"/>
    <w:rsid w:val="00F62B52"/>
    <w:rsid w:val="00F63C70"/>
    <w:rsid w:val="00F678F8"/>
    <w:rsid w:val="00F767D0"/>
    <w:rsid w:val="00F778BB"/>
    <w:rsid w:val="00F83CC3"/>
    <w:rsid w:val="00F87FAF"/>
    <w:rsid w:val="00F91D3F"/>
    <w:rsid w:val="00F96F3C"/>
    <w:rsid w:val="00F97B9E"/>
    <w:rsid w:val="00FA289A"/>
    <w:rsid w:val="00FA3D73"/>
    <w:rsid w:val="00FA4B51"/>
    <w:rsid w:val="00FB2032"/>
    <w:rsid w:val="00FB654D"/>
    <w:rsid w:val="00FC4FCE"/>
    <w:rsid w:val="00FD23E1"/>
    <w:rsid w:val="00FE02BF"/>
    <w:rsid w:val="00FE0D51"/>
    <w:rsid w:val="00FE3ACB"/>
    <w:rsid w:val="00FE6FF9"/>
    <w:rsid w:val="00FF1326"/>
    <w:rsid w:val="00FF4C73"/>
    <w:rsid w:val="00FF4CB0"/>
    <w:rsid w:val="00FF6160"/>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E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1"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1"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rsid w:val="0031614E"/>
    <w:rPr>
      <w:rFonts w:ascii="Times New Roman" w:eastAsia="Times New Roman" w:hAnsi="Times New Roman"/>
      <w:sz w:val="24"/>
      <w:szCs w:val="24"/>
    </w:rPr>
  </w:style>
  <w:style w:type="paragraph" w:styleId="Heading1">
    <w:name w:val="heading 1"/>
    <w:basedOn w:val="Normal"/>
    <w:next w:val="Normal"/>
    <w:link w:val="Heading1Char"/>
    <w:qFormat/>
    <w:rsid w:val="00706C28"/>
    <w:pPr>
      <w:keepNext/>
      <w:jc w:val="both"/>
      <w:outlineLvl w:val="0"/>
    </w:pPr>
    <w:rPr>
      <w:rFonts w:ascii="Times New Roman (PCL6)" w:hAnsi="Times New Roman (PCL6)" w:cs="Times New Roman (PCL6)"/>
      <w:u w:val="single"/>
    </w:rPr>
  </w:style>
  <w:style w:type="paragraph" w:styleId="Heading2">
    <w:name w:val="heading 2"/>
    <w:basedOn w:val="Normal"/>
    <w:next w:val="Normal"/>
    <w:link w:val="Heading2Char"/>
    <w:qFormat/>
    <w:rsid w:val="00072652"/>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hAnsi="Arial" w:cs="Arial"/>
      <w:b/>
      <w:bCs/>
      <w:caps/>
    </w:rPr>
  </w:style>
  <w:style w:type="paragraph" w:styleId="Heading3">
    <w:name w:val="heading 3"/>
    <w:basedOn w:val="Normal"/>
    <w:link w:val="Heading3Char"/>
    <w:qFormat/>
    <w:rsid w:val="0064561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72652"/>
    <w:pPr>
      <w:tabs>
        <w:tab w:val="left" w:pos="0"/>
        <w:tab w:val="left" w:pos="600"/>
        <w:tab w:val="left" w:pos="1080"/>
        <w:tab w:val="left" w:pos="1560"/>
        <w:tab w:val="left" w:pos="2040"/>
        <w:tab w:val="left" w:pos="2520"/>
        <w:tab w:val="left" w:pos="3000"/>
        <w:tab w:val="left" w:pos="4200"/>
        <w:tab w:val="left" w:pos="4320"/>
        <w:tab w:val="left" w:pos="5040"/>
        <w:tab w:val="left" w:pos="5760"/>
        <w:tab w:val="left" w:pos="6480"/>
        <w:tab w:val="left" w:pos="7200"/>
        <w:tab w:val="left" w:pos="7920"/>
        <w:tab w:val="left" w:pos="8640"/>
        <w:tab w:val="left" w:pos="9360"/>
      </w:tabs>
      <w:outlineLvl w:val="3"/>
    </w:pPr>
    <w:rPr>
      <w:rFonts w:ascii="Arial" w:eastAsia="Arial Unicode MS" w:hAnsi="Arial" w:cs="Arial"/>
      <w:b/>
      <w:bCs/>
      <w:sz w:val="22"/>
      <w:szCs w:val="22"/>
    </w:rPr>
  </w:style>
  <w:style w:type="paragraph" w:styleId="Heading5">
    <w:name w:val="heading 5"/>
    <w:basedOn w:val="Normal"/>
    <w:next w:val="Normal"/>
    <w:link w:val="Heading5Char"/>
    <w:qFormat/>
    <w:rsid w:val="00072652"/>
    <w:pPr>
      <w:keepNext/>
      <w:tabs>
        <w:tab w:val="left" w:pos="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left="1080"/>
      <w:jc w:val="both"/>
      <w:outlineLvl w:val="4"/>
    </w:pPr>
  </w:style>
  <w:style w:type="paragraph" w:styleId="Heading6">
    <w:name w:val="heading 6"/>
    <w:basedOn w:val="Normal"/>
    <w:next w:val="Normal"/>
    <w:link w:val="Heading6Char"/>
    <w:qFormat/>
    <w:rsid w:val="000726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left="900" w:hanging="900"/>
      <w:jc w:val="both"/>
      <w:outlineLvl w:val="5"/>
    </w:pPr>
    <w:rPr>
      <w:b/>
      <w:bCs/>
    </w:rPr>
  </w:style>
  <w:style w:type="paragraph" w:styleId="Heading7">
    <w:name w:val="heading 7"/>
    <w:basedOn w:val="Normal"/>
    <w:next w:val="Normal"/>
    <w:link w:val="Heading7Char"/>
    <w:qFormat/>
    <w:rsid w:val="000726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left="720" w:hanging="720"/>
      <w:jc w:val="both"/>
      <w:outlineLvl w:val="6"/>
    </w:pPr>
    <w:rPr>
      <w:b/>
      <w:bCs/>
    </w:rPr>
  </w:style>
  <w:style w:type="paragraph" w:styleId="Heading8">
    <w:name w:val="heading 8"/>
    <w:basedOn w:val="Normal"/>
    <w:next w:val="Normal"/>
    <w:link w:val="Heading8Char"/>
    <w:qFormat/>
    <w:rsid w:val="00072652"/>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right="-90"/>
      <w:jc w:val="both"/>
      <w:outlineLvl w:val="7"/>
    </w:pPr>
    <w:rPr>
      <w:b/>
      <w:bCs/>
    </w:rPr>
  </w:style>
  <w:style w:type="paragraph" w:styleId="Heading9">
    <w:name w:val="heading 9"/>
    <w:basedOn w:val="Normal"/>
    <w:next w:val="Normal"/>
    <w:link w:val="Heading9Char"/>
    <w:qFormat/>
    <w:rsid w:val="00072652"/>
    <w:pPr>
      <w:keepNext/>
      <w:numPr>
        <w:numId w:val="5"/>
      </w:numPr>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67D0"/>
    <w:pPr>
      <w:spacing w:before="100" w:beforeAutospacing="1" w:after="100" w:afterAutospacing="1"/>
    </w:pPr>
    <w:rPr>
      <w:sz w:val="20"/>
      <w:szCs w:val="20"/>
    </w:rPr>
  </w:style>
  <w:style w:type="paragraph" w:customStyle="1" w:styleId="Default">
    <w:name w:val="Default"/>
    <w:rsid w:val="0041164F"/>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nhideWhenUsed/>
    <w:rsid w:val="00942E8A"/>
    <w:pPr>
      <w:tabs>
        <w:tab w:val="center" w:pos="4680"/>
        <w:tab w:val="right" w:pos="9360"/>
      </w:tabs>
    </w:pPr>
  </w:style>
  <w:style w:type="character" w:customStyle="1" w:styleId="HeaderChar">
    <w:name w:val="Header Char"/>
    <w:link w:val="Header"/>
    <w:rsid w:val="00942E8A"/>
    <w:rPr>
      <w:rFonts w:ascii="Times New Roman" w:eastAsia="Times New Roman" w:hAnsi="Times New Roman"/>
      <w:sz w:val="24"/>
      <w:szCs w:val="24"/>
    </w:rPr>
  </w:style>
  <w:style w:type="paragraph" w:styleId="Footer">
    <w:name w:val="footer"/>
    <w:basedOn w:val="Normal"/>
    <w:link w:val="FooterChar"/>
    <w:unhideWhenUsed/>
    <w:rsid w:val="00942E8A"/>
    <w:pPr>
      <w:tabs>
        <w:tab w:val="center" w:pos="4680"/>
        <w:tab w:val="right" w:pos="9360"/>
      </w:tabs>
    </w:pPr>
  </w:style>
  <w:style w:type="character" w:customStyle="1" w:styleId="FooterChar">
    <w:name w:val="Footer Char"/>
    <w:link w:val="Footer"/>
    <w:rsid w:val="00942E8A"/>
    <w:rPr>
      <w:rFonts w:ascii="Times New Roman" w:eastAsia="Times New Roman" w:hAnsi="Times New Roman"/>
      <w:sz w:val="24"/>
      <w:szCs w:val="24"/>
    </w:rPr>
  </w:style>
  <w:style w:type="paragraph" w:styleId="BalloonText">
    <w:name w:val="Balloon Text"/>
    <w:basedOn w:val="Normal"/>
    <w:link w:val="BalloonTextChar"/>
    <w:unhideWhenUsed/>
    <w:rsid w:val="00942E8A"/>
    <w:rPr>
      <w:rFonts w:ascii="Tahoma" w:hAnsi="Tahoma" w:cs="Tahoma"/>
      <w:sz w:val="16"/>
      <w:szCs w:val="16"/>
    </w:rPr>
  </w:style>
  <w:style w:type="character" w:customStyle="1" w:styleId="BalloonTextChar">
    <w:name w:val="Balloon Text Char"/>
    <w:link w:val="BalloonText"/>
    <w:rsid w:val="00942E8A"/>
    <w:rPr>
      <w:rFonts w:ascii="Tahoma" w:eastAsia="Times New Roman" w:hAnsi="Tahoma" w:cs="Tahoma"/>
      <w:sz w:val="16"/>
      <w:szCs w:val="16"/>
    </w:rPr>
  </w:style>
  <w:style w:type="paragraph" w:styleId="NoSpacing">
    <w:name w:val="No Spacing"/>
    <w:link w:val="NoSpacingChar"/>
    <w:uiPriority w:val="1"/>
    <w:qFormat/>
    <w:rsid w:val="00741D56"/>
    <w:rPr>
      <w:rFonts w:eastAsia="MS Mincho" w:cs="Arial"/>
      <w:sz w:val="22"/>
      <w:szCs w:val="22"/>
      <w:lang w:eastAsia="ja-JP"/>
    </w:rPr>
  </w:style>
  <w:style w:type="character" w:customStyle="1" w:styleId="NoSpacingChar">
    <w:name w:val="No Spacing Char"/>
    <w:link w:val="NoSpacing"/>
    <w:uiPriority w:val="1"/>
    <w:rsid w:val="00741D56"/>
    <w:rPr>
      <w:rFonts w:eastAsia="MS Mincho" w:cs="Arial"/>
      <w:sz w:val="22"/>
      <w:szCs w:val="22"/>
      <w:lang w:eastAsia="ja-JP"/>
    </w:rPr>
  </w:style>
  <w:style w:type="paragraph" w:styleId="ListParagraph">
    <w:name w:val="List Paragraph"/>
    <w:basedOn w:val="Normal"/>
    <w:uiPriority w:val="34"/>
    <w:qFormat/>
    <w:rsid w:val="00F11310"/>
    <w:pPr>
      <w:spacing w:after="200" w:line="276" w:lineRule="auto"/>
      <w:ind w:left="720"/>
      <w:contextualSpacing/>
    </w:pPr>
    <w:rPr>
      <w:rFonts w:eastAsia="MS Mincho"/>
      <w:szCs w:val="22"/>
    </w:rPr>
  </w:style>
  <w:style w:type="paragraph" w:styleId="BodyText">
    <w:name w:val="Body Text"/>
    <w:basedOn w:val="Normal"/>
    <w:link w:val="BodyTextChar"/>
    <w:rsid w:val="00E826FE"/>
    <w:pPr>
      <w:jc w:val="both"/>
    </w:pPr>
    <w:rPr>
      <w:rFonts w:ascii="Arial" w:hAnsi="Arial"/>
      <w:sz w:val="28"/>
      <w:szCs w:val="20"/>
    </w:rPr>
  </w:style>
  <w:style w:type="character" w:customStyle="1" w:styleId="BodyTextChar">
    <w:name w:val="Body Text Char"/>
    <w:link w:val="BodyText"/>
    <w:rsid w:val="00E826FE"/>
    <w:rPr>
      <w:rFonts w:ascii="Arial" w:eastAsia="Times New Roman" w:hAnsi="Arial"/>
      <w:sz w:val="28"/>
      <w:lang w:val="en-US" w:eastAsia="en-US"/>
    </w:rPr>
  </w:style>
  <w:style w:type="character" w:customStyle="1" w:styleId="Heading3Char">
    <w:name w:val="Heading 3 Char"/>
    <w:link w:val="Heading3"/>
    <w:rsid w:val="00645617"/>
    <w:rPr>
      <w:rFonts w:ascii="Times New Roman" w:eastAsia="Times New Roman" w:hAnsi="Times New Roman"/>
      <w:b/>
      <w:bCs/>
      <w:sz w:val="27"/>
      <w:szCs w:val="27"/>
    </w:rPr>
  </w:style>
  <w:style w:type="character" w:styleId="CommentReference">
    <w:name w:val="annotation reference"/>
    <w:rsid w:val="00645617"/>
    <w:rPr>
      <w:sz w:val="16"/>
      <w:szCs w:val="16"/>
    </w:rPr>
  </w:style>
  <w:style w:type="paragraph" w:styleId="CommentText">
    <w:name w:val="annotation text"/>
    <w:basedOn w:val="Normal"/>
    <w:link w:val="CommentTextChar"/>
    <w:rsid w:val="00645617"/>
    <w:rPr>
      <w:rFonts w:eastAsia="SimSun"/>
      <w:sz w:val="20"/>
      <w:szCs w:val="20"/>
      <w:lang w:eastAsia="zh-CN"/>
    </w:rPr>
  </w:style>
  <w:style w:type="character" w:customStyle="1" w:styleId="CommentTextChar">
    <w:name w:val="Comment Text Char"/>
    <w:link w:val="CommentText"/>
    <w:rsid w:val="00645617"/>
    <w:rPr>
      <w:rFonts w:ascii="Times New Roman" w:eastAsia="SimSun" w:hAnsi="Times New Roman"/>
      <w:lang w:eastAsia="zh-CN"/>
    </w:rPr>
  </w:style>
  <w:style w:type="paragraph" w:styleId="CommentSubject">
    <w:name w:val="annotation subject"/>
    <w:basedOn w:val="CommentText"/>
    <w:next w:val="CommentText"/>
    <w:link w:val="CommentSubjectChar"/>
    <w:rsid w:val="00645617"/>
    <w:rPr>
      <w:b/>
      <w:bCs/>
    </w:rPr>
  </w:style>
  <w:style w:type="character" w:customStyle="1" w:styleId="CommentSubjectChar">
    <w:name w:val="Comment Subject Char"/>
    <w:link w:val="CommentSubject"/>
    <w:rsid w:val="00645617"/>
    <w:rPr>
      <w:rFonts w:ascii="Times New Roman" w:eastAsia="SimSun" w:hAnsi="Times New Roman"/>
      <w:b/>
      <w:bCs/>
      <w:lang w:eastAsia="zh-CN"/>
    </w:rPr>
  </w:style>
  <w:style w:type="paragraph" w:styleId="Revision">
    <w:name w:val="Revision"/>
    <w:hidden/>
    <w:uiPriority w:val="99"/>
    <w:semiHidden/>
    <w:rsid w:val="00645617"/>
    <w:rPr>
      <w:rFonts w:ascii="Times New Roman" w:eastAsia="SimSun" w:hAnsi="Times New Roman"/>
      <w:sz w:val="24"/>
      <w:szCs w:val="24"/>
      <w:lang w:eastAsia="zh-CN"/>
    </w:rPr>
  </w:style>
  <w:style w:type="paragraph" w:customStyle="1" w:styleId="CM37">
    <w:name w:val="CM37"/>
    <w:basedOn w:val="Normal"/>
    <w:next w:val="Normal"/>
    <w:rsid w:val="00645617"/>
    <w:pPr>
      <w:autoSpaceDE w:val="0"/>
      <w:autoSpaceDN w:val="0"/>
      <w:adjustRightInd w:val="0"/>
    </w:pPr>
  </w:style>
  <w:style w:type="character" w:styleId="Hyperlink">
    <w:name w:val="Hyperlink"/>
    <w:uiPriority w:val="99"/>
    <w:unhideWhenUsed/>
    <w:rsid w:val="00645617"/>
    <w:rPr>
      <w:color w:val="0000FF"/>
      <w:u w:val="single"/>
    </w:rPr>
  </w:style>
  <w:style w:type="character" w:customStyle="1" w:styleId="Heading1Char">
    <w:name w:val="Heading 1 Char"/>
    <w:link w:val="Heading1"/>
    <w:rsid w:val="00706C28"/>
    <w:rPr>
      <w:rFonts w:ascii="Times New Roman (PCL6)" w:eastAsia="Times New Roman" w:hAnsi="Times New Roman (PCL6)" w:cs="Times New Roman (PCL6)"/>
      <w:sz w:val="24"/>
      <w:szCs w:val="24"/>
      <w:u w:val="single"/>
    </w:rPr>
  </w:style>
  <w:style w:type="character" w:customStyle="1" w:styleId="Heading2Char">
    <w:name w:val="Heading 2 Char"/>
    <w:link w:val="Heading2"/>
    <w:rsid w:val="00706C28"/>
    <w:rPr>
      <w:rFonts w:ascii="Arial" w:eastAsia="Times New Roman" w:hAnsi="Arial" w:cs="Arial"/>
      <w:b/>
      <w:bCs/>
      <w:caps/>
      <w:sz w:val="24"/>
      <w:szCs w:val="24"/>
    </w:rPr>
  </w:style>
  <w:style w:type="character" w:customStyle="1" w:styleId="Heading4Char">
    <w:name w:val="Heading 4 Char"/>
    <w:link w:val="Heading4"/>
    <w:rsid w:val="00706C28"/>
    <w:rPr>
      <w:rFonts w:ascii="Arial" w:eastAsia="Arial Unicode MS" w:hAnsi="Arial" w:cs="Arial"/>
      <w:b/>
      <w:bCs/>
      <w:sz w:val="22"/>
      <w:szCs w:val="22"/>
    </w:rPr>
  </w:style>
  <w:style w:type="character" w:customStyle="1" w:styleId="Heading5Char">
    <w:name w:val="Heading 5 Char"/>
    <w:link w:val="Heading5"/>
    <w:rsid w:val="00706C28"/>
    <w:rPr>
      <w:rFonts w:ascii="Times New Roman" w:eastAsia="Times New Roman" w:hAnsi="Times New Roman"/>
      <w:sz w:val="24"/>
      <w:szCs w:val="24"/>
    </w:rPr>
  </w:style>
  <w:style w:type="character" w:customStyle="1" w:styleId="Heading6Char">
    <w:name w:val="Heading 6 Char"/>
    <w:link w:val="Heading6"/>
    <w:rsid w:val="00706C28"/>
    <w:rPr>
      <w:rFonts w:ascii="Times New Roman" w:eastAsia="Times New Roman" w:hAnsi="Times New Roman"/>
      <w:b/>
      <w:bCs/>
      <w:sz w:val="24"/>
      <w:szCs w:val="24"/>
    </w:rPr>
  </w:style>
  <w:style w:type="character" w:customStyle="1" w:styleId="Heading7Char">
    <w:name w:val="Heading 7 Char"/>
    <w:link w:val="Heading7"/>
    <w:rsid w:val="00706C28"/>
    <w:rPr>
      <w:rFonts w:ascii="Times New Roman" w:eastAsia="Times New Roman" w:hAnsi="Times New Roman"/>
      <w:b/>
      <w:bCs/>
      <w:sz w:val="24"/>
      <w:szCs w:val="24"/>
    </w:rPr>
  </w:style>
  <w:style w:type="character" w:customStyle="1" w:styleId="Heading8Char">
    <w:name w:val="Heading 8 Char"/>
    <w:link w:val="Heading8"/>
    <w:rsid w:val="00706C28"/>
    <w:rPr>
      <w:rFonts w:ascii="Times New Roman" w:eastAsia="Times New Roman" w:hAnsi="Times New Roman"/>
      <w:b/>
      <w:bCs/>
      <w:sz w:val="24"/>
      <w:szCs w:val="24"/>
    </w:rPr>
  </w:style>
  <w:style w:type="character" w:customStyle="1" w:styleId="Heading9Char">
    <w:name w:val="Heading 9 Char"/>
    <w:link w:val="Heading9"/>
    <w:rsid w:val="00706C28"/>
    <w:rPr>
      <w:rFonts w:ascii="Times New Roman" w:eastAsia="Times New Roman" w:hAnsi="Times New Roman"/>
      <w:b/>
      <w:bCs/>
      <w:sz w:val="24"/>
      <w:szCs w:val="24"/>
    </w:rPr>
  </w:style>
  <w:style w:type="character" w:styleId="FollowedHyperlink">
    <w:name w:val="FollowedHyperlink"/>
    <w:semiHidden/>
    <w:unhideWhenUsed/>
    <w:rsid w:val="00706C28"/>
    <w:rPr>
      <w:rFonts w:ascii="Times New Roman" w:hAnsi="Times New Roman" w:cs="Times New Roman" w:hint="default"/>
      <w:color w:val="800080"/>
      <w:u w:val="single"/>
    </w:rPr>
  </w:style>
  <w:style w:type="paragraph" w:styleId="HTMLPreformatted">
    <w:name w:val="HTML Preformatted"/>
    <w:basedOn w:val="Normal"/>
    <w:link w:val="HTMLPreformattedChar"/>
    <w:semiHidden/>
    <w:unhideWhenUsed/>
    <w:rsid w:val="007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s="Courier New"/>
      <w:sz w:val="20"/>
      <w:szCs w:val="20"/>
    </w:rPr>
  </w:style>
  <w:style w:type="character" w:customStyle="1" w:styleId="HTMLPreformattedChar">
    <w:name w:val="HTML Preformatted Char"/>
    <w:link w:val="HTMLPreformatted"/>
    <w:semiHidden/>
    <w:rsid w:val="00706C28"/>
    <w:rPr>
      <w:rFonts w:ascii="Courier New" w:eastAsia="Times New Roman" w:hAnsi="Courier New" w:cs="Courier New"/>
    </w:rPr>
  </w:style>
  <w:style w:type="paragraph" w:styleId="NormalWeb">
    <w:name w:val="Normal (Web)"/>
    <w:basedOn w:val="Normal"/>
    <w:unhideWhenUsed/>
    <w:rsid w:val="00706C28"/>
    <w:pPr>
      <w:spacing w:before="100" w:beforeAutospacing="1" w:after="100" w:afterAutospacing="1"/>
    </w:pPr>
  </w:style>
  <w:style w:type="paragraph" w:styleId="FootnoteText">
    <w:name w:val="footnote text"/>
    <w:basedOn w:val="Normal"/>
    <w:link w:val="FootnoteTextChar"/>
    <w:uiPriority w:val="99"/>
    <w:semiHidden/>
    <w:unhideWhenUsed/>
    <w:rsid w:val="00706C28"/>
    <w:pPr>
      <w:overflowPunct w:val="0"/>
      <w:autoSpaceDE w:val="0"/>
      <w:autoSpaceDN w:val="0"/>
      <w:adjustRightInd w:val="0"/>
    </w:pPr>
    <w:rPr>
      <w:rFonts w:ascii="Courier New" w:hAnsi="Courier New" w:cs="Courier New"/>
    </w:rPr>
  </w:style>
  <w:style w:type="character" w:customStyle="1" w:styleId="FootnoteTextChar">
    <w:name w:val="Footnote Text Char"/>
    <w:link w:val="FootnoteText"/>
    <w:uiPriority w:val="99"/>
    <w:semiHidden/>
    <w:rsid w:val="00706C28"/>
    <w:rPr>
      <w:rFonts w:ascii="Courier New" w:eastAsia="Times New Roman" w:hAnsi="Courier New" w:cs="Courier New"/>
      <w:sz w:val="24"/>
      <w:szCs w:val="24"/>
    </w:rPr>
  </w:style>
  <w:style w:type="paragraph" w:styleId="EndnoteText">
    <w:name w:val="endnote text"/>
    <w:basedOn w:val="Normal"/>
    <w:link w:val="EndnoteTextChar"/>
    <w:semiHidden/>
    <w:unhideWhenUsed/>
    <w:rsid w:val="00706C28"/>
    <w:pPr>
      <w:widowControl w:val="0"/>
    </w:pPr>
    <w:rPr>
      <w:rFonts w:ascii="Century Schoolbook" w:hAnsi="Century Schoolbook" w:cs="Century Schoolbook"/>
    </w:rPr>
  </w:style>
  <w:style w:type="character" w:customStyle="1" w:styleId="EndnoteTextChar">
    <w:name w:val="Endnote Text Char"/>
    <w:link w:val="EndnoteText"/>
    <w:semiHidden/>
    <w:rsid w:val="00706C28"/>
    <w:rPr>
      <w:rFonts w:ascii="Century Schoolbook" w:eastAsia="Times New Roman" w:hAnsi="Century Schoolbook" w:cs="Century Schoolbook"/>
      <w:sz w:val="24"/>
      <w:szCs w:val="24"/>
    </w:rPr>
  </w:style>
  <w:style w:type="paragraph" w:styleId="Title">
    <w:name w:val="Title"/>
    <w:basedOn w:val="Normal"/>
    <w:link w:val="TitleChar"/>
    <w:qFormat/>
    <w:rsid w:val="00706C28"/>
    <w:pPr>
      <w:jc w:val="center"/>
    </w:pPr>
    <w:rPr>
      <w:b/>
      <w:bCs/>
    </w:rPr>
  </w:style>
  <w:style w:type="character" w:customStyle="1" w:styleId="TitleChar">
    <w:name w:val="Title Char"/>
    <w:link w:val="Title"/>
    <w:rsid w:val="00706C28"/>
    <w:rPr>
      <w:rFonts w:ascii="Times New Roman" w:eastAsia="Times New Roman" w:hAnsi="Times New Roman"/>
      <w:b/>
      <w:bCs/>
      <w:sz w:val="24"/>
      <w:szCs w:val="24"/>
    </w:rPr>
  </w:style>
  <w:style w:type="paragraph" w:styleId="BodyTextIndent">
    <w:name w:val="Body Text Indent"/>
    <w:basedOn w:val="Normal"/>
    <w:link w:val="BodyTextIndentChar"/>
    <w:semiHidden/>
    <w:unhideWhenUsed/>
    <w:rsid w:val="00706C28"/>
    <w:pPr>
      <w:ind w:left="720" w:hanging="720"/>
      <w:jc w:val="both"/>
    </w:pPr>
    <w:rPr>
      <w:rFonts w:ascii="Arial" w:hAnsi="Arial" w:cs="Arial"/>
      <w:sz w:val="22"/>
      <w:szCs w:val="22"/>
    </w:rPr>
  </w:style>
  <w:style w:type="character" w:customStyle="1" w:styleId="BodyTextIndentChar">
    <w:name w:val="Body Text Indent Char"/>
    <w:link w:val="BodyTextIndent"/>
    <w:semiHidden/>
    <w:rsid w:val="00706C28"/>
    <w:rPr>
      <w:rFonts w:ascii="Arial" w:eastAsia="Times New Roman" w:hAnsi="Arial" w:cs="Arial"/>
      <w:sz w:val="22"/>
      <w:szCs w:val="22"/>
    </w:rPr>
  </w:style>
  <w:style w:type="paragraph" w:styleId="BodyText2">
    <w:name w:val="Body Text 2"/>
    <w:basedOn w:val="Normal"/>
    <w:link w:val="BodyText2Char"/>
    <w:semiHidden/>
    <w:unhideWhenUsed/>
    <w:rsid w:val="00706C28"/>
    <w:pPr>
      <w:tabs>
        <w:tab w:val="left" w:pos="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jc w:val="both"/>
    </w:pPr>
  </w:style>
  <w:style w:type="character" w:customStyle="1" w:styleId="BodyText2Char">
    <w:name w:val="Body Text 2 Char"/>
    <w:link w:val="BodyText2"/>
    <w:semiHidden/>
    <w:rsid w:val="00706C28"/>
    <w:rPr>
      <w:rFonts w:ascii="Times New Roman" w:eastAsia="Times New Roman" w:hAnsi="Times New Roman"/>
      <w:sz w:val="24"/>
      <w:szCs w:val="24"/>
    </w:rPr>
  </w:style>
  <w:style w:type="paragraph" w:styleId="BodyText3">
    <w:name w:val="Body Text 3"/>
    <w:basedOn w:val="Normal"/>
    <w:link w:val="BodyText3Char"/>
    <w:semiHidden/>
    <w:unhideWhenUsed/>
    <w:rsid w:val="00706C2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napToGrid w:val="0"/>
    </w:pPr>
    <w:rPr>
      <w:rFonts w:ascii="Arial" w:hAnsi="Arial" w:cs="Arial"/>
      <w:sz w:val="22"/>
      <w:szCs w:val="22"/>
    </w:rPr>
  </w:style>
  <w:style w:type="character" w:customStyle="1" w:styleId="BodyText3Char">
    <w:name w:val="Body Text 3 Char"/>
    <w:link w:val="BodyText3"/>
    <w:semiHidden/>
    <w:rsid w:val="00706C28"/>
    <w:rPr>
      <w:rFonts w:ascii="Arial" w:eastAsia="Times New Roman" w:hAnsi="Arial" w:cs="Arial"/>
      <w:sz w:val="22"/>
      <w:szCs w:val="22"/>
    </w:rPr>
  </w:style>
  <w:style w:type="paragraph" w:styleId="BodyTextIndent2">
    <w:name w:val="Body Text Indent 2"/>
    <w:basedOn w:val="Normal"/>
    <w:link w:val="BodyTextIndent2Char"/>
    <w:semiHidden/>
    <w:unhideWhenUsed/>
    <w:rsid w:val="00706C28"/>
    <w:pPr>
      <w:ind w:left="1440" w:hanging="720"/>
      <w:jc w:val="both"/>
    </w:pPr>
    <w:rPr>
      <w:rFonts w:ascii="Times New Roman (PCL6)" w:hAnsi="Times New Roman (PCL6)" w:cs="Times New Roman (PCL6)"/>
    </w:rPr>
  </w:style>
  <w:style w:type="character" w:customStyle="1" w:styleId="BodyTextIndent2Char">
    <w:name w:val="Body Text Indent 2 Char"/>
    <w:link w:val="BodyTextIndent2"/>
    <w:semiHidden/>
    <w:rsid w:val="00706C28"/>
    <w:rPr>
      <w:rFonts w:ascii="Times New Roman (PCL6)" w:eastAsia="Times New Roman" w:hAnsi="Times New Roman (PCL6)" w:cs="Times New Roman (PCL6)"/>
      <w:sz w:val="24"/>
      <w:szCs w:val="24"/>
    </w:rPr>
  </w:style>
  <w:style w:type="paragraph" w:styleId="BodyTextIndent3">
    <w:name w:val="Body Text Indent 3"/>
    <w:basedOn w:val="Normal"/>
    <w:link w:val="BodyTextIndent3Char"/>
    <w:semiHidden/>
    <w:unhideWhenUsed/>
    <w:rsid w:val="00706C28"/>
    <w:pPr>
      <w:ind w:left="720"/>
      <w:jc w:val="both"/>
    </w:pPr>
    <w:rPr>
      <w:rFonts w:ascii="Times New Roman (PCL6)" w:hAnsi="Times New Roman (PCL6)" w:cs="Times New Roman (PCL6)"/>
    </w:rPr>
  </w:style>
  <w:style w:type="character" w:customStyle="1" w:styleId="BodyTextIndent3Char">
    <w:name w:val="Body Text Indent 3 Char"/>
    <w:link w:val="BodyTextIndent3"/>
    <w:semiHidden/>
    <w:rsid w:val="00706C28"/>
    <w:rPr>
      <w:rFonts w:ascii="Times New Roman (PCL6)" w:eastAsia="Times New Roman" w:hAnsi="Times New Roman (PCL6)" w:cs="Times New Roman (PCL6)"/>
      <w:sz w:val="24"/>
      <w:szCs w:val="24"/>
    </w:rPr>
  </w:style>
  <w:style w:type="paragraph" w:styleId="BlockText">
    <w:name w:val="Block Text"/>
    <w:basedOn w:val="Normal"/>
    <w:semiHidden/>
    <w:unhideWhenUsed/>
    <w:rsid w:val="00706C28"/>
    <w:pPr>
      <w:widowControl w:val="0"/>
      <w:tabs>
        <w:tab w:val="left" w:pos="1584"/>
        <w:tab w:val="left" w:pos="2304"/>
      </w:tabs>
      <w:suppressAutoHyphens/>
      <w:ind w:left="1584" w:right="-720" w:hanging="1584"/>
    </w:pPr>
    <w:rPr>
      <w:b/>
      <w:bCs/>
      <w:spacing w:val="-2"/>
    </w:rPr>
  </w:style>
  <w:style w:type="paragraph" w:customStyle="1" w:styleId="Level1">
    <w:name w:val="Level 1"/>
    <w:basedOn w:val="Normal"/>
    <w:rsid w:val="00706C28"/>
    <w:pPr>
      <w:widowControl w:val="0"/>
      <w:numPr>
        <w:numId w:val="6"/>
      </w:numPr>
      <w:tabs>
        <w:tab w:val="clear" w:pos="360"/>
      </w:tabs>
      <w:autoSpaceDE w:val="0"/>
      <w:autoSpaceDN w:val="0"/>
      <w:adjustRightInd w:val="0"/>
      <w:outlineLvl w:val="0"/>
    </w:pPr>
    <w:rPr>
      <w:sz w:val="20"/>
      <w:szCs w:val="20"/>
    </w:rPr>
  </w:style>
  <w:style w:type="character" w:styleId="FootnoteReference">
    <w:name w:val="footnote reference"/>
    <w:uiPriority w:val="99"/>
    <w:semiHidden/>
    <w:unhideWhenUsed/>
    <w:rsid w:val="00706C28"/>
    <w:rPr>
      <w:rFonts w:ascii="Times New Roman" w:hAnsi="Times New Roman" w:cs="Times New Roman" w:hint="default"/>
    </w:rPr>
  </w:style>
  <w:style w:type="character" w:styleId="PageNumber">
    <w:name w:val="page number"/>
    <w:semiHidden/>
    <w:unhideWhenUsed/>
    <w:rsid w:val="00706C28"/>
    <w:rPr>
      <w:rFonts w:ascii="Times New Roman" w:hAnsi="Times New Roman" w:cs="Times New Roman" w:hint="default"/>
    </w:rPr>
  </w:style>
  <w:style w:type="character" w:customStyle="1" w:styleId="CommentTextChar1">
    <w:name w:val="Comment Text Char1"/>
    <w:uiPriority w:val="99"/>
    <w:semiHidden/>
    <w:rsid w:val="00706C28"/>
    <w:rPr>
      <w:lang w:eastAsia="zh-CN"/>
    </w:rPr>
  </w:style>
  <w:style w:type="character" w:customStyle="1" w:styleId="HeaderChar1">
    <w:name w:val="Header Char1"/>
    <w:uiPriority w:val="99"/>
    <w:semiHidden/>
    <w:rsid w:val="00706C28"/>
    <w:rPr>
      <w:sz w:val="24"/>
      <w:szCs w:val="24"/>
      <w:lang w:eastAsia="zh-CN"/>
    </w:rPr>
  </w:style>
  <w:style w:type="character" w:customStyle="1" w:styleId="FooterChar1">
    <w:name w:val="Footer Char1"/>
    <w:uiPriority w:val="99"/>
    <w:semiHidden/>
    <w:rsid w:val="00706C28"/>
    <w:rPr>
      <w:sz w:val="24"/>
      <w:szCs w:val="24"/>
      <w:lang w:eastAsia="zh-CN"/>
    </w:rPr>
  </w:style>
  <w:style w:type="character" w:customStyle="1" w:styleId="CommentSubjectChar1">
    <w:name w:val="Comment Subject Char1"/>
    <w:uiPriority w:val="99"/>
    <w:semiHidden/>
    <w:rsid w:val="00706C28"/>
    <w:rPr>
      <w:b/>
      <w:bCs/>
      <w:lang w:eastAsia="zh-CN"/>
    </w:rPr>
  </w:style>
  <w:style w:type="character" w:customStyle="1" w:styleId="BalloonTextChar1">
    <w:name w:val="Balloon Text Char1"/>
    <w:uiPriority w:val="99"/>
    <w:semiHidden/>
    <w:rsid w:val="00706C28"/>
    <w:rPr>
      <w:rFonts w:ascii="Tahoma" w:hAnsi="Tahoma" w:cs="Tahoma" w:hint="default"/>
      <w:sz w:val="16"/>
      <w:szCs w:val="16"/>
      <w:lang w:eastAsia="zh-CN"/>
    </w:rPr>
  </w:style>
  <w:style w:type="character" w:customStyle="1" w:styleId="documentbody1">
    <w:name w:val="documentbody1"/>
    <w:rsid w:val="00706C28"/>
    <w:rPr>
      <w:rFonts w:ascii="Verdana" w:hAnsi="Verdana" w:cs="Verdana" w:hint="default"/>
      <w:sz w:val="19"/>
      <w:szCs w:val="19"/>
    </w:rPr>
  </w:style>
  <w:style w:type="character" w:customStyle="1" w:styleId="MediumShading1-Accent1Char">
    <w:name w:val="Medium Shading 1 - Accent 1 Char"/>
    <w:link w:val="MediumShading1-Accent1"/>
    <w:uiPriority w:val="1"/>
    <w:rsid w:val="00F23909"/>
    <w:rPr>
      <w:rFonts w:eastAsia="MS Mincho" w:cs="Arial"/>
      <w:sz w:val="22"/>
      <w:szCs w:val="22"/>
      <w:lang w:eastAsia="ja-JP"/>
    </w:rPr>
  </w:style>
  <w:style w:type="character" w:customStyle="1" w:styleId="et03">
    <w:name w:val="et03"/>
    <w:rsid w:val="00F23909"/>
  </w:style>
  <w:style w:type="paragraph" w:customStyle="1" w:styleId="psection-2">
    <w:name w:val="psection-2"/>
    <w:basedOn w:val="Normal"/>
    <w:rsid w:val="00F23909"/>
    <w:pPr>
      <w:spacing w:before="100" w:beforeAutospacing="1" w:after="100" w:afterAutospacing="1"/>
    </w:pPr>
    <w:rPr>
      <w:rFonts w:eastAsia="Calibri"/>
      <w:sz w:val="20"/>
      <w:szCs w:val="20"/>
    </w:rPr>
  </w:style>
  <w:style w:type="character" w:customStyle="1" w:styleId="enumxml">
    <w:name w:val="enumxml"/>
    <w:rsid w:val="00F23909"/>
  </w:style>
  <w:style w:type="character" w:customStyle="1" w:styleId="MediumGrid2Char">
    <w:name w:val="Medium Grid 2 Char"/>
    <w:link w:val="MediumGrid2"/>
    <w:uiPriority w:val="1"/>
    <w:rsid w:val="00F23909"/>
    <w:rPr>
      <w:rFonts w:eastAsia="MS Mincho" w:cs="Arial"/>
      <w:sz w:val="22"/>
      <w:szCs w:val="22"/>
      <w:lang w:eastAsia="ja-JP"/>
    </w:rPr>
  </w:style>
  <w:style w:type="table" w:styleId="MediumShading1-Accent1">
    <w:name w:val="Medium Shading 1 Accent 1"/>
    <w:basedOn w:val="TableNormal"/>
    <w:link w:val="MediumShading1-Accent1Char"/>
    <w:uiPriority w:val="1"/>
    <w:rsid w:val="00F23909"/>
    <w:rPr>
      <w:rFonts w:eastAsia="MS Mincho" w:cs="Arial"/>
      <w:sz w:val="22"/>
      <w:szCs w:val="22"/>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
    <w:name w:val="Medium Grid 2"/>
    <w:basedOn w:val="TableNormal"/>
    <w:link w:val="MediumGrid2Char"/>
    <w:uiPriority w:val="1"/>
    <w:rsid w:val="00F23909"/>
    <w:rPr>
      <w:rFonts w:eastAsia="MS Mincho" w:cs="Arial"/>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M23">
    <w:name w:val="CM23"/>
    <w:basedOn w:val="Normal"/>
    <w:next w:val="Normal"/>
    <w:uiPriority w:val="99"/>
    <w:rsid w:val="00567FA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1"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1"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rsid w:val="0031614E"/>
    <w:rPr>
      <w:rFonts w:ascii="Times New Roman" w:eastAsia="Times New Roman" w:hAnsi="Times New Roman"/>
      <w:sz w:val="24"/>
      <w:szCs w:val="24"/>
    </w:rPr>
  </w:style>
  <w:style w:type="paragraph" w:styleId="Heading1">
    <w:name w:val="heading 1"/>
    <w:basedOn w:val="Normal"/>
    <w:next w:val="Normal"/>
    <w:link w:val="Heading1Char"/>
    <w:qFormat/>
    <w:rsid w:val="00706C28"/>
    <w:pPr>
      <w:keepNext/>
      <w:jc w:val="both"/>
      <w:outlineLvl w:val="0"/>
    </w:pPr>
    <w:rPr>
      <w:rFonts w:ascii="Times New Roman (PCL6)" w:hAnsi="Times New Roman (PCL6)" w:cs="Times New Roman (PCL6)"/>
      <w:u w:val="single"/>
    </w:rPr>
  </w:style>
  <w:style w:type="paragraph" w:styleId="Heading2">
    <w:name w:val="heading 2"/>
    <w:basedOn w:val="Normal"/>
    <w:next w:val="Normal"/>
    <w:link w:val="Heading2Char"/>
    <w:qFormat/>
    <w:rsid w:val="00072652"/>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hAnsi="Arial" w:cs="Arial"/>
      <w:b/>
      <w:bCs/>
      <w:caps/>
    </w:rPr>
  </w:style>
  <w:style w:type="paragraph" w:styleId="Heading3">
    <w:name w:val="heading 3"/>
    <w:basedOn w:val="Normal"/>
    <w:link w:val="Heading3Char"/>
    <w:qFormat/>
    <w:rsid w:val="0064561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72652"/>
    <w:pPr>
      <w:tabs>
        <w:tab w:val="left" w:pos="0"/>
        <w:tab w:val="left" w:pos="600"/>
        <w:tab w:val="left" w:pos="1080"/>
        <w:tab w:val="left" w:pos="1560"/>
        <w:tab w:val="left" w:pos="2040"/>
        <w:tab w:val="left" w:pos="2520"/>
        <w:tab w:val="left" w:pos="3000"/>
        <w:tab w:val="left" w:pos="4200"/>
        <w:tab w:val="left" w:pos="4320"/>
        <w:tab w:val="left" w:pos="5040"/>
        <w:tab w:val="left" w:pos="5760"/>
        <w:tab w:val="left" w:pos="6480"/>
        <w:tab w:val="left" w:pos="7200"/>
        <w:tab w:val="left" w:pos="7920"/>
        <w:tab w:val="left" w:pos="8640"/>
        <w:tab w:val="left" w:pos="9360"/>
      </w:tabs>
      <w:outlineLvl w:val="3"/>
    </w:pPr>
    <w:rPr>
      <w:rFonts w:ascii="Arial" w:eastAsia="Arial Unicode MS" w:hAnsi="Arial" w:cs="Arial"/>
      <w:b/>
      <w:bCs/>
      <w:sz w:val="22"/>
      <w:szCs w:val="22"/>
    </w:rPr>
  </w:style>
  <w:style w:type="paragraph" w:styleId="Heading5">
    <w:name w:val="heading 5"/>
    <w:basedOn w:val="Normal"/>
    <w:next w:val="Normal"/>
    <w:link w:val="Heading5Char"/>
    <w:qFormat/>
    <w:rsid w:val="00072652"/>
    <w:pPr>
      <w:keepNext/>
      <w:tabs>
        <w:tab w:val="left" w:pos="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left="1080"/>
      <w:jc w:val="both"/>
      <w:outlineLvl w:val="4"/>
    </w:pPr>
  </w:style>
  <w:style w:type="paragraph" w:styleId="Heading6">
    <w:name w:val="heading 6"/>
    <w:basedOn w:val="Normal"/>
    <w:next w:val="Normal"/>
    <w:link w:val="Heading6Char"/>
    <w:qFormat/>
    <w:rsid w:val="000726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left="900" w:hanging="900"/>
      <w:jc w:val="both"/>
      <w:outlineLvl w:val="5"/>
    </w:pPr>
    <w:rPr>
      <w:b/>
      <w:bCs/>
    </w:rPr>
  </w:style>
  <w:style w:type="paragraph" w:styleId="Heading7">
    <w:name w:val="heading 7"/>
    <w:basedOn w:val="Normal"/>
    <w:next w:val="Normal"/>
    <w:link w:val="Heading7Char"/>
    <w:qFormat/>
    <w:rsid w:val="000726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left="720" w:hanging="720"/>
      <w:jc w:val="both"/>
      <w:outlineLvl w:val="6"/>
    </w:pPr>
    <w:rPr>
      <w:b/>
      <w:bCs/>
    </w:rPr>
  </w:style>
  <w:style w:type="paragraph" w:styleId="Heading8">
    <w:name w:val="heading 8"/>
    <w:basedOn w:val="Normal"/>
    <w:next w:val="Normal"/>
    <w:link w:val="Heading8Char"/>
    <w:qFormat/>
    <w:rsid w:val="00072652"/>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ind w:right="-90"/>
      <w:jc w:val="both"/>
      <w:outlineLvl w:val="7"/>
    </w:pPr>
    <w:rPr>
      <w:b/>
      <w:bCs/>
    </w:rPr>
  </w:style>
  <w:style w:type="paragraph" w:styleId="Heading9">
    <w:name w:val="heading 9"/>
    <w:basedOn w:val="Normal"/>
    <w:next w:val="Normal"/>
    <w:link w:val="Heading9Char"/>
    <w:qFormat/>
    <w:rsid w:val="00072652"/>
    <w:pPr>
      <w:keepNext/>
      <w:numPr>
        <w:numId w:val="5"/>
      </w:numPr>
      <w:tabs>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67D0"/>
    <w:pPr>
      <w:spacing w:before="100" w:beforeAutospacing="1" w:after="100" w:afterAutospacing="1"/>
    </w:pPr>
    <w:rPr>
      <w:sz w:val="20"/>
      <w:szCs w:val="20"/>
    </w:rPr>
  </w:style>
  <w:style w:type="paragraph" w:customStyle="1" w:styleId="Default">
    <w:name w:val="Default"/>
    <w:rsid w:val="0041164F"/>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nhideWhenUsed/>
    <w:rsid w:val="00942E8A"/>
    <w:pPr>
      <w:tabs>
        <w:tab w:val="center" w:pos="4680"/>
        <w:tab w:val="right" w:pos="9360"/>
      </w:tabs>
    </w:pPr>
  </w:style>
  <w:style w:type="character" w:customStyle="1" w:styleId="HeaderChar">
    <w:name w:val="Header Char"/>
    <w:link w:val="Header"/>
    <w:rsid w:val="00942E8A"/>
    <w:rPr>
      <w:rFonts w:ascii="Times New Roman" w:eastAsia="Times New Roman" w:hAnsi="Times New Roman"/>
      <w:sz w:val="24"/>
      <w:szCs w:val="24"/>
    </w:rPr>
  </w:style>
  <w:style w:type="paragraph" w:styleId="Footer">
    <w:name w:val="footer"/>
    <w:basedOn w:val="Normal"/>
    <w:link w:val="FooterChar"/>
    <w:unhideWhenUsed/>
    <w:rsid w:val="00942E8A"/>
    <w:pPr>
      <w:tabs>
        <w:tab w:val="center" w:pos="4680"/>
        <w:tab w:val="right" w:pos="9360"/>
      </w:tabs>
    </w:pPr>
  </w:style>
  <w:style w:type="character" w:customStyle="1" w:styleId="FooterChar">
    <w:name w:val="Footer Char"/>
    <w:link w:val="Footer"/>
    <w:rsid w:val="00942E8A"/>
    <w:rPr>
      <w:rFonts w:ascii="Times New Roman" w:eastAsia="Times New Roman" w:hAnsi="Times New Roman"/>
      <w:sz w:val="24"/>
      <w:szCs w:val="24"/>
    </w:rPr>
  </w:style>
  <w:style w:type="paragraph" w:styleId="BalloonText">
    <w:name w:val="Balloon Text"/>
    <w:basedOn w:val="Normal"/>
    <w:link w:val="BalloonTextChar"/>
    <w:unhideWhenUsed/>
    <w:rsid w:val="00942E8A"/>
    <w:rPr>
      <w:rFonts w:ascii="Tahoma" w:hAnsi="Tahoma" w:cs="Tahoma"/>
      <w:sz w:val="16"/>
      <w:szCs w:val="16"/>
    </w:rPr>
  </w:style>
  <w:style w:type="character" w:customStyle="1" w:styleId="BalloonTextChar">
    <w:name w:val="Balloon Text Char"/>
    <w:link w:val="BalloonText"/>
    <w:rsid w:val="00942E8A"/>
    <w:rPr>
      <w:rFonts w:ascii="Tahoma" w:eastAsia="Times New Roman" w:hAnsi="Tahoma" w:cs="Tahoma"/>
      <w:sz w:val="16"/>
      <w:szCs w:val="16"/>
    </w:rPr>
  </w:style>
  <w:style w:type="paragraph" w:styleId="NoSpacing">
    <w:name w:val="No Spacing"/>
    <w:link w:val="NoSpacingChar"/>
    <w:uiPriority w:val="1"/>
    <w:qFormat/>
    <w:rsid w:val="00741D56"/>
    <w:rPr>
      <w:rFonts w:eastAsia="MS Mincho" w:cs="Arial"/>
      <w:sz w:val="22"/>
      <w:szCs w:val="22"/>
      <w:lang w:eastAsia="ja-JP"/>
    </w:rPr>
  </w:style>
  <w:style w:type="character" w:customStyle="1" w:styleId="NoSpacingChar">
    <w:name w:val="No Spacing Char"/>
    <w:link w:val="NoSpacing"/>
    <w:uiPriority w:val="1"/>
    <w:rsid w:val="00741D56"/>
    <w:rPr>
      <w:rFonts w:eastAsia="MS Mincho" w:cs="Arial"/>
      <w:sz w:val="22"/>
      <w:szCs w:val="22"/>
      <w:lang w:eastAsia="ja-JP"/>
    </w:rPr>
  </w:style>
  <w:style w:type="paragraph" w:styleId="ListParagraph">
    <w:name w:val="List Paragraph"/>
    <w:basedOn w:val="Normal"/>
    <w:uiPriority w:val="34"/>
    <w:qFormat/>
    <w:rsid w:val="00F11310"/>
    <w:pPr>
      <w:spacing w:after="200" w:line="276" w:lineRule="auto"/>
      <w:ind w:left="720"/>
      <w:contextualSpacing/>
    </w:pPr>
    <w:rPr>
      <w:rFonts w:eastAsia="MS Mincho"/>
      <w:szCs w:val="22"/>
    </w:rPr>
  </w:style>
  <w:style w:type="paragraph" w:styleId="BodyText">
    <w:name w:val="Body Text"/>
    <w:basedOn w:val="Normal"/>
    <w:link w:val="BodyTextChar"/>
    <w:rsid w:val="00E826FE"/>
    <w:pPr>
      <w:jc w:val="both"/>
    </w:pPr>
    <w:rPr>
      <w:rFonts w:ascii="Arial" w:hAnsi="Arial"/>
      <w:sz w:val="28"/>
      <w:szCs w:val="20"/>
    </w:rPr>
  </w:style>
  <w:style w:type="character" w:customStyle="1" w:styleId="BodyTextChar">
    <w:name w:val="Body Text Char"/>
    <w:link w:val="BodyText"/>
    <w:rsid w:val="00E826FE"/>
    <w:rPr>
      <w:rFonts w:ascii="Arial" w:eastAsia="Times New Roman" w:hAnsi="Arial"/>
      <w:sz w:val="28"/>
      <w:lang w:val="en-US" w:eastAsia="en-US"/>
    </w:rPr>
  </w:style>
  <w:style w:type="character" w:customStyle="1" w:styleId="Heading3Char">
    <w:name w:val="Heading 3 Char"/>
    <w:link w:val="Heading3"/>
    <w:rsid w:val="00645617"/>
    <w:rPr>
      <w:rFonts w:ascii="Times New Roman" w:eastAsia="Times New Roman" w:hAnsi="Times New Roman"/>
      <w:b/>
      <w:bCs/>
      <w:sz w:val="27"/>
      <w:szCs w:val="27"/>
    </w:rPr>
  </w:style>
  <w:style w:type="character" w:styleId="CommentReference">
    <w:name w:val="annotation reference"/>
    <w:rsid w:val="00645617"/>
    <w:rPr>
      <w:sz w:val="16"/>
      <w:szCs w:val="16"/>
    </w:rPr>
  </w:style>
  <w:style w:type="paragraph" w:styleId="CommentText">
    <w:name w:val="annotation text"/>
    <w:basedOn w:val="Normal"/>
    <w:link w:val="CommentTextChar"/>
    <w:rsid w:val="00645617"/>
    <w:rPr>
      <w:rFonts w:eastAsia="SimSun"/>
      <w:sz w:val="20"/>
      <w:szCs w:val="20"/>
      <w:lang w:eastAsia="zh-CN"/>
    </w:rPr>
  </w:style>
  <w:style w:type="character" w:customStyle="1" w:styleId="CommentTextChar">
    <w:name w:val="Comment Text Char"/>
    <w:link w:val="CommentText"/>
    <w:rsid w:val="00645617"/>
    <w:rPr>
      <w:rFonts w:ascii="Times New Roman" w:eastAsia="SimSun" w:hAnsi="Times New Roman"/>
      <w:lang w:eastAsia="zh-CN"/>
    </w:rPr>
  </w:style>
  <w:style w:type="paragraph" w:styleId="CommentSubject">
    <w:name w:val="annotation subject"/>
    <w:basedOn w:val="CommentText"/>
    <w:next w:val="CommentText"/>
    <w:link w:val="CommentSubjectChar"/>
    <w:rsid w:val="00645617"/>
    <w:rPr>
      <w:b/>
      <w:bCs/>
    </w:rPr>
  </w:style>
  <w:style w:type="character" w:customStyle="1" w:styleId="CommentSubjectChar">
    <w:name w:val="Comment Subject Char"/>
    <w:link w:val="CommentSubject"/>
    <w:rsid w:val="00645617"/>
    <w:rPr>
      <w:rFonts w:ascii="Times New Roman" w:eastAsia="SimSun" w:hAnsi="Times New Roman"/>
      <w:b/>
      <w:bCs/>
      <w:lang w:eastAsia="zh-CN"/>
    </w:rPr>
  </w:style>
  <w:style w:type="paragraph" w:styleId="Revision">
    <w:name w:val="Revision"/>
    <w:hidden/>
    <w:uiPriority w:val="99"/>
    <w:semiHidden/>
    <w:rsid w:val="00645617"/>
    <w:rPr>
      <w:rFonts w:ascii="Times New Roman" w:eastAsia="SimSun" w:hAnsi="Times New Roman"/>
      <w:sz w:val="24"/>
      <w:szCs w:val="24"/>
      <w:lang w:eastAsia="zh-CN"/>
    </w:rPr>
  </w:style>
  <w:style w:type="paragraph" w:customStyle="1" w:styleId="CM37">
    <w:name w:val="CM37"/>
    <w:basedOn w:val="Normal"/>
    <w:next w:val="Normal"/>
    <w:rsid w:val="00645617"/>
    <w:pPr>
      <w:autoSpaceDE w:val="0"/>
      <w:autoSpaceDN w:val="0"/>
      <w:adjustRightInd w:val="0"/>
    </w:pPr>
  </w:style>
  <w:style w:type="character" w:styleId="Hyperlink">
    <w:name w:val="Hyperlink"/>
    <w:uiPriority w:val="99"/>
    <w:unhideWhenUsed/>
    <w:rsid w:val="00645617"/>
    <w:rPr>
      <w:color w:val="0000FF"/>
      <w:u w:val="single"/>
    </w:rPr>
  </w:style>
  <w:style w:type="character" w:customStyle="1" w:styleId="Heading1Char">
    <w:name w:val="Heading 1 Char"/>
    <w:link w:val="Heading1"/>
    <w:rsid w:val="00706C28"/>
    <w:rPr>
      <w:rFonts w:ascii="Times New Roman (PCL6)" w:eastAsia="Times New Roman" w:hAnsi="Times New Roman (PCL6)" w:cs="Times New Roman (PCL6)"/>
      <w:sz w:val="24"/>
      <w:szCs w:val="24"/>
      <w:u w:val="single"/>
    </w:rPr>
  </w:style>
  <w:style w:type="character" w:customStyle="1" w:styleId="Heading2Char">
    <w:name w:val="Heading 2 Char"/>
    <w:link w:val="Heading2"/>
    <w:rsid w:val="00706C28"/>
    <w:rPr>
      <w:rFonts w:ascii="Arial" w:eastAsia="Times New Roman" w:hAnsi="Arial" w:cs="Arial"/>
      <w:b/>
      <w:bCs/>
      <w:caps/>
      <w:sz w:val="24"/>
      <w:szCs w:val="24"/>
    </w:rPr>
  </w:style>
  <w:style w:type="character" w:customStyle="1" w:styleId="Heading4Char">
    <w:name w:val="Heading 4 Char"/>
    <w:link w:val="Heading4"/>
    <w:rsid w:val="00706C28"/>
    <w:rPr>
      <w:rFonts w:ascii="Arial" w:eastAsia="Arial Unicode MS" w:hAnsi="Arial" w:cs="Arial"/>
      <w:b/>
      <w:bCs/>
      <w:sz w:val="22"/>
      <w:szCs w:val="22"/>
    </w:rPr>
  </w:style>
  <w:style w:type="character" w:customStyle="1" w:styleId="Heading5Char">
    <w:name w:val="Heading 5 Char"/>
    <w:link w:val="Heading5"/>
    <w:rsid w:val="00706C28"/>
    <w:rPr>
      <w:rFonts w:ascii="Times New Roman" w:eastAsia="Times New Roman" w:hAnsi="Times New Roman"/>
      <w:sz w:val="24"/>
      <w:szCs w:val="24"/>
    </w:rPr>
  </w:style>
  <w:style w:type="character" w:customStyle="1" w:styleId="Heading6Char">
    <w:name w:val="Heading 6 Char"/>
    <w:link w:val="Heading6"/>
    <w:rsid w:val="00706C28"/>
    <w:rPr>
      <w:rFonts w:ascii="Times New Roman" w:eastAsia="Times New Roman" w:hAnsi="Times New Roman"/>
      <w:b/>
      <w:bCs/>
      <w:sz w:val="24"/>
      <w:szCs w:val="24"/>
    </w:rPr>
  </w:style>
  <w:style w:type="character" w:customStyle="1" w:styleId="Heading7Char">
    <w:name w:val="Heading 7 Char"/>
    <w:link w:val="Heading7"/>
    <w:rsid w:val="00706C28"/>
    <w:rPr>
      <w:rFonts w:ascii="Times New Roman" w:eastAsia="Times New Roman" w:hAnsi="Times New Roman"/>
      <w:b/>
      <w:bCs/>
      <w:sz w:val="24"/>
      <w:szCs w:val="24"/>
    </w:rPr>
  </w:style>
  <w:style w:type="character" w:customStyle="1" w:styleId="Heading8Char">
    <w:name w:val="Heading 8 Char"/>
    <w:link w:val="Heading8"/>
    <w:rsid w:val="00706C28"/>
    <w:rPr>
      <w:rFonts w:ascii="Times New Roman" w:eastAsia="Times New Roman" w:hAnsi="Times New Roman"/>
      <w:b/>
      <w:bCs/>
      <w:sz w:val="24"/>
      <w:szCs w:val="24"/>
    </w:rPr>
  </w:style>
  <w:style w:type="character" w:customStyle="1" w:styleId="Heading9Char">
    <w:name w:val="Heading 9 Char"/>
    <w:link w:val="Heading9"/>
    <w:rsid w:val="00706C28"/>
    <w:rPr>
      <w:rFonts w:ascii="Times New Roman" w:eastAsia="Times New Roman" w:hAnsi="Times New Roman"/>
      <w:b/>
      <w:bCs/>
      <w:sz w:val="24"/>
      <w:szCs w:val="24"/>
    </w:rPr>
  </w:style>
  <w:style w:type="character" w:styleId="FollowedHyperlink">
    <w:name w:val="FollowedHyperlink"/>
    <w:semiHidden/>
    <w:unhideWhenUsed/>
    <w:rsid w:val="00706C28"/>
    <w:rPr>
      <w:rFonts w:ascii="Times New Roman" w:hAnsi="Times New Roman" w:cs="Times New Roman" w:hint="default"/>
      <w:color w:val="800080"/>
      <w:u w:val="single"/>
    </w:rPr>
  </w:style>
  <w:style w:type="paragraph" w:styleId="HTMLPreformatted">
    <w:name w:val="HTML Preformatted"/>
    <w:basedOn w:val="Normal"/>
    <w:link w:val="HTMLPreformattedChar"/>
    <w:semiHidden/>
    <w:unhideWhenUsed/>
    <w:rsid w:val="007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s="Courier New"/>
      <w:sz w:val="20"/>
      <w:szCs w:val="20"/>
    </w:rPr>
  </w:style>
  <w:style w:type="character" w:customStyle="1" w:styleId="HTMLPreformattedChar">
    <w:name w:val="HTML Preformatted Char"/>
    <w:link w:val="HTMLPreformatted"/>
    <w:semiHidden/>
    <w:rsid w:val="00706C28"/>
    <w:rPr>
      <w:rFonts w:ascii="Courier New" w:eastAsia="Times New Roman" w:hAnsi="Courier New" w:cs="Courier New"/>
    </w:rPr>
  </w:style>
  <w:style w:type="paragraph" w:styleId="NormalWeb">
    <w:name w:val="Normal (Web)"/>
    <w:basedOn w:val="Normal"/>
    <w:unhideWhenUsed/>
    <w:rsid w:val="00706C28"/>
    <w:pPr>
      <w:spacing w:before="100" w:beforeAutospacing="1" w:after="100" w:afterAutospacing="1"/>
    </w:pPr>
  </w:style>
  <w:style w:type="paragraph" w:styleId="FootnoteText">
    <w:name w:val="footnote text"/>
    <w:basedOn w:val="Normal"/>
    <w:link w:val="FootnoteTextChar"/>
    <w:uiPriority w:val="99"/>
    <w:semiHidden/>
    <w:unhideWhenUsed/>
    <w:rsid w:val="00706C28"/>
    <w:pPr>
      <w:overflowPunct w:val="0"/>
      <w:autoSpaceDE w:val="0"/>
      <w:autoSpaceDN w:val="0"/>
      <w:adjustRightInd w:val="0"/>
    </w:pPr>
    <w:rPr>
      <w:rFonts w:ascii="Courier New" w:hAnsi="Courier New" w:cs="Courier New"/>
    </w:rPr>
  </w:style>
  <w:style w:type="character" w:customStyle="1" w:styleId="FootnoteTextChar">
    <w:name w:val="Footnote Text Char"/>
    <w:link w:val="FootnoteText"/>
    <w:uiPriority w:val="99"/>
    <w:semiHidden/>
    <w:rsid w:val="00706C28"/>
    <w:rPr>
      <w:rFonts w:ascii="Courier New" w:eastAsia="Times New Roman" w:hAnsi="Courier New" w:cs="Courier New"/>
      <w:sz w:val="24"/>
      <w:szCs w:val="24"/>
    </w:rPr>
  </w:style>
  <w:style w:type="paragraph" w:styleId="EndnoteText">
    <w:name w:val="endnote text"/>
    <w:basedOn w:val="Normal"/>
    <w:link w:val="EndnoteTextChar"/>
    <w:semiHidden/>
    <w:unhideWhenUsed/>
    <w:rsid w:val="00706C28"/>
    <w:pPr>
      <w:widowControl w:val="0"/>
    </w:pPr>
    <w:rPr>
      <w:rFonts w:ascii="Century Schoolbook" w:hAnsi="Century Schoolbook" w:cs="Century Schoolbook"/>
    </w:rPr>
  </w:style>
  <w:style w:type="character" w:customStyle="1" w:styleId="EndnoteTextChar">
    <w:name w:val="Endnote Text Char"/>
    <w:link w:val="EndnoteText"/>
    <w:semiHidden/>
    <w:rsid w:val="00706C28"/>
    <w:rPr>
      <w:rFonts w:ascii="Century Schoolbook" w:eastAsia="Times New Roman" w:hAnsi="Century Schoolbook" w:cs="Century Schoolbook"/>
      <w:sz w:val="24"/>
      <w:szCs w:val="24"/>
    </w:rPr>
  </w:style>
  <w:style w:type="paragraph" w:styleId="Title">
    <w:name w:val="Title"/>
    <w:basedOn w:val="Normal"/>
    <w:link w:val="TitleChar"/>
    <w:qFormat/>
    <w:rsid w:val="00706C28"/>
    <w:pPr>
      <w:jc w:val="center"/>
    </w:pPr>
    <w:rPr>
      <w:b/>
      <w:bCs/>
    </w:rPr>
  </w:style>
  <w:style w:type="character" w:customStyle="1" w:styleId="TitleChar">
    <w:name w:val="Title Char"/>
    <w:link w:val="Title"/>
    <w:rsid w:val="00706C28"/>
    <w:rPr>
      <w:rFonts w:ascii="Times New Roman" w:eastAsia="Times New Roman" w:hAnsi="Times New Roman"/>
      <w:b/>
      <w:bCs/>
      <w:sz w:val="24"/>
      <w:szCs w:val="24"/>
    </w:rPr>
  </w:style>
  <w:style w:type="paragraph" w:styleId="BodyTextIndent">
    <w:name w:val="Body Text Indent"/>
    <w:basedOn w:val="Normal"/>
    <w:link w:val="BodyTextIndentChar"/>
    <w:semiHidden/>
    <w:unhideWhenUsed/>
    <w:rsid w:val="00706C28"/>
    <w:pPr>
      <w:ind w:left="720" w:hanging="720"/>
      <w:jc w:val="both"/>
    </w:pPr>
    <w:rPr>
      <w:rFonts w:ascii="Arial" w:hAnsi="Arial" w:cs="Arial"/>
      <w:sz w:val="22"/>
      <w:szCs w:val="22"/>
    </w:rPr>
  </w:style>
  <w:style w:type="character" w:customStyle="1" w:styleId="BodyTextIndentChar">
    <w:name w:val="Body Text Indent Char"/>
    <w:link w:val="BodyTextIndent"/>
    <w:semiHidden/>
    <w:rsid w:val="00706C28"/>
    <w:rPr>
      <w:rFonts w:ascii="Arial" w:eastAsia="Times New Roman" w:hAnsi="Arial" w:cs="Arial"/>
      <w:sz w:val="22"/>
      <w:szCs w:val="22"/>
    </w:rPr>
  </w:style>
  <w:style w:type="paragraph" w:styleId="BodyText2">
    <w:name w:val="Body Text 2"/>
    <w:basedOn w:val="Normal"/>
    <w:link w:val="BodyText2Char"/>
    <w:semiHidden/>
    <w:unhideWhenUsed/>
    <w:rsid w:val="00706C28"/>
    <w:pPr>
      <w:tabs>
        <w:tab w:val="left" w:pos="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exact"/>
      <w:jc w:val="both"/>
    </w:pPr>
  </w:style>
  <w:style w:type="character" w:customStyle="1" w:styleId="BodyText2Char">
    <w:name w:val="Body Text 2 Char"/>
    <w:link w:val="BodyText2"/>
    <w:semiHidden/>
    <w:rsid w:val="00706C28"/>
    <w:rPr>
      <w:rFonts w:ascii="Times New Roman" w:eastAsia="Times New Roman" w:hAnsi="Times New Roman"/>
      <w:sz w:val="24"/>
      <w:szCs w:val="24"/>
    </w:rPr>
  </w:style>
  <w:style w:type="paragraph" w:styleId="BodyText3">
    <w:name w:val="Body Text 3"/>
    <w:basedOn w:val="Normal"/>
    <w:link w:val="BodyText3Char"/>
    <w:semiHidden/>
    <w:unhideWhenUsed/>
    <w:rsid w:val="00706C2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napToGrid w:val="0"/>
    </w:pPr>
    <w:rPr>
      <w:rFonts w:ascii="Arial" w:hAnsi="Arial" w:cs="Arial"/>
      <w:sz w:val="22"/>
      <w:szCs w:val="22"/>
    </w:rPr>
  </w:style>
  <w:style w:type="character" w:customStyle="1" w:styleId="BodyText3Char">
    <w:name w:val="Body Text 3 Char"/>
    <w:link w:val="BodyText3"/>
    <w:semiHidden/>
    <w:rsid w:val="00706C28"/>
    <w:rPr>
      <w:rFonts w:ascii="Arial" w:eastAsia="Times New Roman" w:hAnsi="Arial" w:cs="Arial"/>
      <w:sz w:val="22"/>
      <w:szCs w:val="22"/>
    </w:rPr>
  </w:style>
  <w:style w:type="paragraph" w:styleId="BodyTextIndent2">
    <w:name w:val="Body Text Indent 2"/>
    <w:basedOn w:val="Normal"/>
    <w:link w:val="BodyTextIndent2Char"/>
    <w:semiHidden/>
    <w:unhideWhenUsed/>
    <w:rsid w:val="00706C28"/>
    <w:pPr>
      <w:ind w:left="1440" w:hanging="720"/>
      <w:jc w:val="both"/>
    </w:pPr>
    <w:rPr>
      <w:rFonts w:ascii="Times New Roman (PCL6)" w:hAnsi="Times New Roman (PCL6)" w:cs="Times New Roman (PCL6)"/>
    </w:rPr>
  </w:style>
  <w:style w:type="character" w:customStyle="1" w:styleId="BodyTextIndent2Char">
    <w:name w:val="Body Text Indent 2 Char"/>
    <w:link w:val="BodyTextIndent2"/>
    <w:semiHidden/>
    <w:rsid w:val="00706C28"/>
    <w:rPr>
      <w:rFonts w:ascii="Times New Roman (PCL6)" w:eastAsia="Times New Roman" w:hAnsi="Times New Roman (PCL6)" w:cs="Times New Roman (PCL6)"/>
      <w:sz w:val="24"/>
      <w:szCs w:val="24"/>
    </w:rPr>
  </w:style>
  <w:style w:type="paragraph" w:styleId="BodyTextIndent3">
    <w:name w:val="Body Text Indent 3"/>
    <w:basedOn w:val="Normal"/>
    <w:link w:val="BodyTextIndent3Char"/>
    <w:semiHidden/>
    <w:unhideWhenUsed/>
    <w:rsid w:val="00706C28"/>
    <w:pPr>
      <w:ind w:left="720"/>
      <w:jc w:val="both"/>
    </w:pPr>
    <w:rPr>
      <w:rFonts w:ascii="Times New Roman (PCL6)" w:hAnsi="Times New Roman (PCL6)" w:cs="Times New Roman (PCL6)"/>
    </w:rPr>
  </w:style>
  <w:style w:type="character" w:customStyle="1" w:styleId="BodyTextIndent3Char">
    <w:name w:val="Body Text Indent 3 Char"/>
    <w:link w:val="BodyTextIndent3"/>
    <w:semiHidden/>
    <w:rsid w:val="00706C28"/>
    <w:rPr>
      <w:rFonts w:ascii="Times New Roman (PCL6)" w:eastAsia="Times New Roman" w:hAnsi="Times New Roman (PCL6)" w:cs="Times New Roman (PCL6)"/>
      <w:sz w:val="24"/>
      <w:szCs w:val="24"/>
    </w:rPr>
  </w:style>
  <w:style w:type="paragraph" w:styleId="BlockText">
    <w:name w:val="Block Text"/>
    <w:basedOn w:val="Normal"/>
    <w:semiHidden/>
    <w:unhideWhenUsed/>
    <w:rsid w:val="00706C28"/>
    <w:pPr>
      <w:widowControl w:val="0"/>
      <w:tabs>
        <w:tab w:val="left" w:pos="1584"/>
        <w:tab w:val="left" w:pos="2304"/>
      </w:tabs>
      <w:suppressAutoHyphens/>
      <w:ind w:left="1584" w:right="-720" w:hanging="1584"/>
    </w:pPr>
    <w:rPr>
      <w:b/>
      <w:bCs/>
      <w:spacing w:val="-2"/>
    </w:rPr>
  </w:style>
  <w:style w:type="paragraph" w:customStyle="1" w:styleId="Level1">
    <w:name w:val="Level 1"/>
    <w:basedOn w:val="Normal"/>
    <w:rsid w:val="00706C28"/>
    <w:pPr>
      <w:widowControl w:val="0"/>
      <w:numPr>
        <w:numId w:val="6"/>
      </w:numPr>
      <w:tabs>
        <w:tab w:val="clear" w:pos="360"/>
      </w:tabs>
      <w:autoSpaceDE w:val="0"/>
      <w:autoSpaceDN w:val="0"/>
      <w:adjustRightInd w:val="0"/>
      <w:outlineLvl w:val="0"/>
    </w:pPr>
    <w:rPr>
      <w:sz w:val="20"/>
      <w:szCs w:val="20"/>
    </w:rPr>
  </w:style>
  <w:style w:type="character" w:styleId="FootnoteReference">
    <w:name w:val="footnote reference"/>
    <w:uiPriority w:val="99"/>
    <w:semiHidden/>
    <w:unhideWhenUsed/>
    <w:rsid w:val="00706C28"/>
    <w:rPr>
      <w:rFonts w:ascii="Times New Roman" w:hAnsi="Times New Roman" w:cs="Times New Roman" w:hint="default"/>
    </w:rPr>
  </w:style>
  <w:style w:type="character" w:styleId="PageNumber">
    <w:name w:val="page number"/>
    <w:semiHidden/>
    <w:unhideWhenUsed/>
    <w:rsid w:val="00706C28"/>
    <w:rPr>
      <w:rFonts w:ascii="Times New Roman" w:hAnsi="Times New Roman" w:cs="Times New Roman" w:hint="default"/>
    </w:rPr>
  </w:style>
  <w:style w:type="character" w:customStyle="1" w:styleId="CommentTextChar1">
    <w:name w:val="Comment Text Char1"/>
    <w:uiPriority w:val="99"/>
    <w:semiHidden/>
    <w:rsid w:val="00706C28"/>
    <w:rPr>
      <w:lang w:eastAsia="zh-CN"/>
    </w:rPr>
  </w:style>
  <w:style w:type="character" w:customStyle="1" w:styleId="HeaderChar1">
    <w:name w:val="Header Char1"/>
    <w:uiPriority w:val="99"/>
    <w:semiHidden/>
    <w:rsid w:val="00706C28"/>
    <w:rPr>
      <w:sz w:val="24"/>
      <w:szCs w:val="24"/>
      <w:lang w:eastAsia="zh-CN"/>
    </w:rPr>
  </w:style>
  <w:style w:type="character" w:customStyle="1" w:styleId="FooterChar1">
    <w:name w:val="Footer Char1"/>
    <w:uiPriority w:val="99"/>
    <w:semiHidden/>
    <w:rsid w:val="00706C28"/>
    <w:rPr>
      <w:sz w:val="24"/>
      <w:szCs w:val="24"/>
      <w:lang w:eastAsia="zh-CN"/>
    </w:rPr>
  </w:style>
  <w:style w:type="character" w:customStyle="1" w:styleId="CommentSubjectChar1">
    <w:name w:val="Comment Subject Char1"/>
    <w:uiPriority w:val="99"/>
    <w:semiHidden/>
    <w:rsid w:val="00706C28"/>
    <w:rPr>
      <w:b/>
      <w:bCs/>
      <w:lang w:eastAsia="zh-CN"/>
    </w:rPr>
  </w:style>
  <w:style w:type="character" w:customStyle="1" w:styleId="BalloonTextChar1">
    <w:name w:val="Balloon Text Char1"/>
    <w:uiPriority w:val="99"/>
    <w:semiHidden/>
    <w:rsid w:val="00706C28"/>
    <w:rPr>
      <w:rFonts w:ascii="Tahoma" w:hAnsi="Tahoma" w:cs="Tahoma" w:hint="default"/>
      <w:sz w:val="16"/>
      <w:szCs w:val="16"/>
      <w:lang w:eastAsia="zh-CN"/>
    </w:rPr>
  </w:style>
  <w:style w:type="character" w:customStyle="1" w:styleId="documentbody1">
    <w:name w:val="documentbody1"/>
    <w:rsid w:val="00706C28"/>
    <w:rPr>
      <w:rFonts w:ascii="Verdana" w:hAnsi="Verdana" w:cs="Verdana" w:hint="default"/>
      <w:sz w:val="19"/>
      <w:szCs w:val="19"/>
    </w:rPr>
  </w:style>
  <w:style w:type="character" w:customStyle="1" w:styleId="MediumShading1-Accent1Char">
    <w:name w:val="Medium Shading 1 - Accent 1 Char"/>
    <w:link w:val="MediumShading1-Accent1"/>
    <w:uiPriority w:val="1"/>
    <w:rsid w:val="00F23909"/>
    <w:rPr>
      <w:rFonts w:eastAsia="MS Mincho" w:cs="Arial"/>
      <w:sz w:val="22"/>
      <w:szCs w:val="22"/>
      <w:lang w:eastAsia="ja-JP"/>
    </w:rPr>
  </w:style>
  <w:style w:type="character" w:customStyle="1" w:styleId="et03">
    <w:name w:val="et03"/>
    <w:rsid w:val="00F23909"/>
  </w:style>
  <w:style w:type="paragraph" w:customStyle="1" w:styleId="psection-2">
    <w:name w:val="psection-2"/>
    <w:basedOn w:val="Normal"/>
    <w:rsid w:val="00F23909"/>
    <w:pPr>
      <w:spacing w:before="100" w:beforeAutospacing="1" w:after="100" w:afterAutospacing="1"/>
    </w:pPr>
    <w:rPr>
      <w:rFonts w:eastAsia="Calibri"/>
      <w:sz w:val="20"/>
      <w:szCs w:val="20"/>
    </w:rPr>
  </w:style>
  <w:style w:type="character" w:customStyle="1" w:styleId="enumxml">
    <w:name w:val="enumxml"/>
    <w:rsid w:val="00F23909"/>
  </w:style>
  <w:style w:type="character" w:customStyle="1" w:styleId="MediumGrid2Char">
    <w:name w:val="Medium Grid 2 Char"/>
    <w:link w:val="MediumGrid2"/>
    <w:uiPriority w:val="1"/>
    <w:rsid w:val="00F23909"/>
    <w:rPr>
      <w:rFonts w:eastAsia="MS Mincho" w:cs="Arial"/>
      <w:sz w:val="22"/>
      <w:szCs w:val="22"/>
      <w:lang w:eastAsia="ja-JP"/>
    </w:rPr>
  </w:style>
  <w:style w:type="table" w:styleId="MediumShading1-Accent1">
    <w:name w:val="Medium Shading 1 Accent 1"/>
    <w:basedOn w:val="TableNormal"/>
    <w:link w:val="MediumShading1-Accent1Char"/>
    <w:uiPriority w:val="1"/>
    <w:rsid w:val="00F23909"/>
    <w:rPr>
      <w:rFonts w:eastAsia="MS Mincho" w:cs="Arial"/>
      <w:sz w:val="22"/>
      <w:szCs w:val="22"/>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
    <w:name w:val="Medium Grid 2"/>
    <w:basedOn w:val="TableNormal"/>
    <w:link w:val="MediumGrid2Char"/>
    <w:uiPriority w:val="1"/>
    <w:rsid w:val="00F23909"/>
    <w:rPr>
      <w:rFonts w:eastAsia="MS Mincho" w:cs="Arial"/>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M23">
    <w:name w:val="CM23"/>
    <w:basedOn w:val="Normal"/>
    <w:next w:val="Normal"/>
    <w:uiPriority w:val="99"/>
    <w:rsid w:val="00567F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0546">
      <w:bodyDiv w:val="1"/>
      <w:marLeft w:val="0"/>
      <w:marRight w:val="0"/>
      <w:marTop w:val="0"/>
      <w:marBottom w:val="0"/>
      <w:divBdr>
        <w:top w:val="none" w:sz="0" w:space="0" w:color="auto"/>
        <w:left w:val="none" w:sz="0" w:space="0" w:color="auto"/>
        <w:bottom w:val="none" w:sz="0" w:space="0" w:color="auto"/>
        <w:right w:val="none" w:sz="0" w:space="0" w:color="auto"/>
      </w:divBdr>
    </w:div>
    <w:div w:id="429662532">
      <w:bodyDiv w:val="1"/>
      <w:marLeft w:val="0"/>
      <w:marRight w:val="0"/>
      <w:marTop w:val="0"/>
      <w:marBottom w:val="0"/>
      <w:divBdr>
        <w:top w:val="none" w:sz="0" w:space="0" w:color="auto"/>
        <w:left w:val="none" w:sz="0" w:space="0" w:color="auto"/>
        <w:bottom w:val="none" w:sz="0" w:space="0" w:color="auto"/>
        <w:right w:val="none" w:sz="0" w:space="0" w:color="auto"/>
      </w:divBdr>
    </w:div>
    <w:div w:id="613287050">
      <w:bodyDiv w:val="1"/>
      <w:marLeft w:val="0"/>
      <w:marRight w:val="0"/>
      <w:marTop w:val="0"/>
      <w:marBottom w:val="0"/>
      <w:divBdr>
        <w:top w:val="none" w:sz="0" w:space="0" w:color="auto"/>
        <w:left w:val="none" w:sz="0" w:space="0" w:color="auto"/>
        <w:bottom w:val="none" w:sz="0" w:space="0" w:color="auto"/>
        <w:right w:val="none" w:sz="0" w:space="0" w:color="auto"/>
      </w:divBdr>
    </w:div>
    <w:div w:id="1149589351">
      <w:bodyDiv w:val="1"/>
      <w:marLeft w:val="0"/>
      <w:marRight w:val="0"/>
      <w:marTop w:val="0"/>
      <w:marBottom w:val="0"/>
      <w:divBdr>
        <w:top w:val="none" w:sz="0" w:space="0" w:color="auto"/>
        <w:left w:val="none" w:sz="0" w:space="0" w:color="auto"/>
        <w:bottom w:val="none" w:sz="0" w:space="0" w:color="auto"/>
        <w:right w:val="none" w:sz="0" w:space="0" w:color="auto"/>
      </w:divBdr>
    </w:div>
    <w:div w:id="1189635530">
      <w:bodyDiv w:val="1"/>
      <w:marLeft w:val="0"/>
      <w:marRight w:val="0"/>
      <w:marTop w:val="0"/>
      <w:marBottom w:val="0"/>
      <w:divBdr>
        <w:top w:val="none" w:sz="0" w:space="0" w:color="auto"/>
        <w:left w:val="none" w:sz="0" w:space="0" w:color="auto"/>
        <w:bottom w:val="none" w:sz="0" w:space="0" w:color="auto"/>
        <w:right w:val="none" w:sz="0" w:space="0" w:color="auto"/>
      </w:divBdr>
    </w:div>
    <w:div w:id="1278684869">
      <w:bodyDiv w:val="1"/>
      <w:marLeft w:val="0"/>
      <w:marRight w:val="0"/>
      <w:marTop w:val="0"/>
      <w:marBottom w:val="0"/>
      <w:divBdr>
        <w:top w:val="none" w:sz="0" w:space="0" w:color="auto"/>
        <w:left w:val="none" w:sz="0" w:space="0" w:color="auto"/>
        <w:bottom w:val="none" w:sz="0" w:space="0" w:color="auto"/>
        <w:right w:val="none" w:sz="0" w:space="0" w:color="auto"/>
      </w:divBdr>
    </w:div>
    <w:div w:id="1437215565">
      <w:bodyDiv w:val="1"/>
      <w:marLeft w:val="0"/>
      <w:marRight w:val="0"/>
      <w:marTop w:val="0"/>
      <w:marBottom w:val="0"/>
      <w:divBdr>
        <w:top w:val="none" w:sz="0" w:space="0" w:color="auto"/>
        <w:left w:val="none" w:sz="0" w:space="0" w:color="auto"/>
        <w:bottom w:val="none" w:sz="0" w:space="0" w:color="auto"/>
        <w:right w:val="none" w:sz="0" w:space="0" w:color="auto"/>
      </w:divBdr>
    </w:div>
    <w:div w:id="1465855578">
      <w:bodyDiv w:val="1"/>
      <w:marLeft w:val="0"/>
      <w:marRight w:val="0"/>
      <w:marTop w:val="0"/>
      <w:marBottom w:val="0"/>
      <w:divBdr>
        <w:top w:val="none" w:sz="0" w:space="0" w:color="auto"/>
        <w:left w:val="none" w:sz="0" w:space="0" w:color="auto"/>
        <w:bottom w:val="none" w:sz="0" w:space="0" w:color="auto"/>
        <w:right w:val="none" w:sz="0" w:space="0" w:color="auto"/>
      </w:divBdr>
    </w:div>
    <w:div w:id="210864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WReviewfees@doee.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52C83866D6045BE64C48E251A6220" ma:contentTypeVersion="9" ma:contentTypeDescription="Create a new document." ma:contentTypeScope="" ma:versionID="cb07b3688e11113e3349b6534ae1178e">
  <xsd:schema xmlns:xsd="http://www.w3.org/2001/XMLSchema" xmlns:xs="http://www.w3.org/2001/XMLSchema" xmlns:p="http://schemas.microsoft.com/office/2006/metadata/properties" xmlns:ns3="bbe5a92d-208e-43a4-8592-85e0a612de5c" targetNamespace="http://schemas.microsoft.com/office/2006/metadata/properties" ma:root="true" ma:fieldsID="b4ffe6ecbe9090488aac67c0a28f5215" ns3:_="">
    <xsd:import namespace="bbe5a92d-208e-43a4-8592-85e0a612de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a92d-208e-43a4-8592-85e0a612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0643-5ACB-4C30-B7A0-21523A7E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a92d-208e-43a4-8592-85e0a612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CFC60-DB64-4D4B-94DC-81EF25EE1157}">
  <ds:schemaRefs>
    <ds:schemaRef ds:uri="http://schemas.microsoft.com/sharepoint/v3/contenttype/forms"/>
  </ds:schemaRefs>
</ds:datastoreItem>
</file>

<file path=customXml/itemProps3.xml><?xml version="1.0" encoding="utf-8"?>
<ds:datastoreItem xmlns:ds="http://schemas.openxmlformats.org/officeDocument/2006/customXml" ds:itemID="{9CA956D3-54F9-400C-88D5-695C5B14F8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be5a92d-208e-43a4-8592-85e0a612de5c"/>
    <ds:schemaRef ds:uri="http://www.w3.org/XML/1998/namespace"/>
    <ds:schemaRef ds:uri="http://purl.org/dc/dcmitype/"/>
  </ds:schemaRefs>
</ds:datastoreItem>
</file>

<file path=customXml/itemProps4.xml><?xml version="1.0" encoding="utf-8"?>
<ds:datastoreItem xmlns:ds="http://schemas.openxmlformats.org/officeDocument/2006/customXml" ds:itemID="{D69823A0-F9DA-4967-B26C-34DE449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6171</Words>
  <Characters>35177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5 DCMR § 2100</vt:lpstr>
    </vt:vector>
  </TitlesOfParts>
  <Company>DC Government</Company>
  <LinksUpToDate>false</LinksUpToDate>
  <CharactersWithSpaces>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DCMR § 2100</dc:title>
  <dc:creator>Helps</dc:creator>
  <cp:lastModifiedBy>Jakuta, Joseph (DOEE)</cp:lastModifiedBy>
  <cp:revision>2</cp:revision>
  <cp:lastPrinted>2020-04-28T15:09:00Z</cp:lastPrinted>
  <dcterms:created xsi:type="dcterms:W3CDTF">2021-03-23T15:26:00Z</dcterms:created>
  <dcterms:modified xsi:type="dcterms:W3CDTF">2021-03-23T15:26:00Z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0x010100A1152C83866D6045BE64C48E251A6220</vt:lpwstr>
  </property>
</Properties>
</file>