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F656CC" w:rsidP="00671C6B">
      <w:pPr>
        <w:pStyle w:val="Heading5"/>
        <w:tabs>
          <w:tab w:val="center" w:pos="4680"/>
        </w:tabs>
        <w:rPr>
          <w:szCs w:val="24"/>
        </w:rPr>
      </w:pPr>
      <w:r>
        <w:rPr>
          <w:szCs w:val="24"/>
        </w:rPr>
        <w:t>May 26</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BA029F" w:rsidP="001E0694">
      <w:pPr>
        <w:tabs>
          <w:tab w:val="center" w:pos="4680"/>
        </w:tabs>
        <w:rPr>
          <w:sz w:val="24"/>
          <w:szCs w:val="24"/>
        </w:rPr>
      </w:pPr>
      <w:r>
        <w:rPr>
          <w:sz w:val="24"/>
          <w:szCs w:val="24"/>
        </w:rPr>
        <w:t>Selene Argueta</w:t>
      </w:r>
    </w:p>
    <w:p w:rsidR="00BA029F" w:rsidRDefault="00BA029F" w:rsidP="001E0694">
      <w:pPr>
        <w:tabs>
          <w:tab w:val="center" w:pos="4680"/>
        </w:tabs>
        <w:rPr>
          <w:sz w:val="24"/>
          <w:szCs w:val="24"/>
        </w:rPr>
      </w:pPr>
      <w:r>
        <w:rPr>
          <w:sz w:val="24"/>
          <w:szCs w:val="24"/>
        </w:rPr>
        <w:t>Senior Property Manager</w:t>
      </w:r>
    </w:p>
    <w:p w:rsidR="00F656CC" w:rsidRDefault="00F656CC" w:rsidP="001E0694">
      <w:pPr>
        <w:tabs>
          <w:tab w:val="center" w:pos="4680"/>
        </w:tabs>
        <w:rPr>
          <w:sz w:val="24"/>
          <w:szCs w:val="24"/>
        </w:rPr>
      </w:pPr>
      <w:r>
        <w:rPr>
          <w:sz w:val="24"/>
          <w:szCs w:val="24"/>
        </w:rPr>
        <w:t>DTZ as agent for GNAREI 1 FARRAGUT LLC</w:t>
      </w:r>
    </w:p>
    <w:p w:rsidR="00BA029F" w:rsidRDefault="00BA029F" w:rsidP="001E0694">
      <w:pPr>
        <w:tabs>
          <w:tab w:val="center" w:pos="4680"/>
        </w:tabs>
        <w:rPr>
          <w:sz w:val="24"/>
          <w:szCs w:val="24"/>
        </w:rPr>
      </w:pPr>
      <w:r>
        <w:rPr>
          <w:sz w:val="24"/>
          <w:szCs w:val="24"/>
        </w:rPr>
        <w:t>900 17</w:t>
      </w:r>
      <w:r w:rsidRPr="00BA029F">
        <w:rPr>
          <w:sz w:val="24"/>
          <w:szCs w:val="24"/>
          <w:vertAlign w:val="superscript"/>
        </w:rPr>
        <w:t>th</w:t>
      </w:r>
      <w:r>
        <w:rPr>
          <w:sz w:val="24"/>
          <w:szCs w:val="24"/>
        </w:rPr>
        <w:t xml:space="preserve"> Street NW, Suite 450</w:t>
      </w:r>
    </w:p>
    <w:p w:rsidR="00671C6B" w:rsidRPr="006243B7" w:rsidRDefault="00BA029F" w:rsidP="001E0694">
      <w:pPr>
        <w:tabs>
          <w:tab w:val="center" w:pos="4680"/>
        </w:tabs>
        <w:rPr>
          <w:sz w:val="24"/>
          <w:szCs w:val="24"/>
        </w:rPr>
      </w:pPr>
      <w:r>
        <w:rPr>
          <w:sz w:val="24"/>
          <w:szCs w:val="24"/>
        </w:rPr>
        <w:t>Washington, DC 20006</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BA029F">
        <w:rPr>
          <w:b/>
          <w:bCs/>
          <w:sz w:val="24"/>
          <w:szCs w:val="24"/>
        </w:rPr>
        <w:t>7001</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200</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Emergency Generator </w:t>
      </w:r>
      <w:r w:rsidR="00F656CC">
        <w:rPr>
          <w:b/>
          <w:bCs/>
          <w:sz w:val="24"/>
          <w:szCs w:val="24"/>
        </w:rPr>
        <w:t>Set</w:t>
      </w:r>
      <w:r w:rsidR="00415C8A">
        <w:rPr>
          <w:b/>
          <w:bCs/>
          <w:sz w:val="24"/>
          <w:szCs w:val="24"/>
        </w:rPr>
        <w:t xml:space="preserve"> </w:t>
      </w:r>
      <w:r w:rsidR="00A91AB0">
        <w:rPr>
          <w:b/>
          <w:bCs/>
          <w:sz w:val="24"/>
          <w:szCs w:val="24"/>
        </w:rPr>
        <w:t>at</w:t>
      </w:r>
      <w:r w:rsidR="00BA029F">
        <w:rPr>
          <w:b/>
          <w:bCs/>
          <w:sz w:val="24"/>
          <w:szCs w:val="24"/>
        </w:rPr>
        <w:t xml:space="preserve"> </w:t>
      </w:r>
      <w:r w:rsidR="00F656CC">
        <w:rPr>
          <w:b/>
          <w:bCs/>
          <w:sz w:val="24"/>
          <w:szCs w:val="24"/>
        </w:rPr>
        <w:t>900 17</w:t>
      </w:r>
      <w:r w:rsidR="00F656CC" w:rsidRPr="00F656CC">
        <w:rPr>
          <w:b/>
          <w:bCs/>
          <w:sz w:val="24"/>
          <w:szCs w:val="24"/>
          <w:vertAlign w:val="superscript"/>
        </w:rPr>
        <w:t>th</w:t>
      </w:r>
      <w:r w:rsidR="00F656CC">
        <w:rPr>
          <w:b/>
          <w:bCs/>
          <w:sz w:val="24"/>
          <w:szCs w:val="24"/>
        </w:rPr>
        <w:t xml:space="preserve"> St. NW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Ms. Argueta</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w:t>
      </w:r>
      <w:r w:rsidR="00060D05" w:rsidRPr="00F656CC">
        <w:rPr>
          <w:caps/>
          <w:sz w:val="24"/>
          <w:szCs w:val="24"/>
        </w:rPr>
        <w:t>Gnarei 1 Farragut LLC</w:t>
      </w:r>
      <w:r w:rsidR="00060D05">
        <w:rPr>
          <w:sz w:val="24"/>
          <w:szCs w:val="24"/>
        </w:rPr>
        <w:t xml:space="preserve"> </w:t>
      </w:r>
      <w:r w:rsidR="007C5019">
        <w:rPr>
          <w:sz w:val="24"/>
          <w:szCs w:val="24"/>
        </w:rPr>
        <w:t xml:space="preserve">(“The </w:t>
      </w:r>
      <w:proofErr w:type="spellStart"/>
      <w:r w:rsidR="007C5019">
        <w:rPr>
          <w:sz w:val="24"/>
          <w:szCs w:val="24"/>
        </w:rPr>
        <w:t>Permittee</w:t>
      </w:r>
      <w:proofErr w:type="spellEnd"/>
      <w:r w:rsidR="007C5019">
        <w:rPr>
          <w:sz w:val="24"/>
          <w:szCs w:val="24"/>
        </w:rPr>
        <w:t>”)</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060D05">
        <w:rPr>
          <w:sz w:val="24"/>
          <w:szCs w:val="24"/>
        </w:rPr>
        <w:t>200</w:t>
      </w:r>
      <w:r w:rsidR="00B9356E">
        <w:rPr>
          <w:sz w:val="24"/>
          <w:szCs w:val="24"/>
        </w:rPr>
        <w:t xml:space="preserve"> kW</w:t>
      </w:r>
      <w:r w:rsidR="005363F6">
        <w:rPr>
          <w:sz w:val="24"/>
          <w:szCs w:val="24"/>
        </w:rPr>
        <w:t>e</w:t>
      </w:r>
      <w:bookmarkStart w:id="0" w:name="_GoBack"/>
      <w:bookmarkEnd w:id="0"/>
      <w:r w:rsidR="00B9356E">
        <w:rPr>
          <w:sz w:val="24"/>
          <w:szCs w:val="24"/>
        </w:rPr>
        <w:t xml:space="preserve"> emergency generator set with a </w:t>
      </w:r>
      <w:r w:rsidR="00060D05">
        <w:rPr>
          <w:sz w:val="24"/>
          <w:szCs w:val="24"/>
        </w:rPr>
        <w:t>380</w:t>
      </w:r>
      <w:r w:rsidR="0097180D">
        <w:rPr>
          <w:sz w:val="24"/>
          <w:szCs w:val="24"/>
        </w:rPr>
        <w:t xml:space="preserve"> HP</w:t>
      </w:r>
      <w:r w:rsidR="00A91AB0">
        <w:rPr>
          <w:sz w:val="24"/>
          <w:szCs w:val="24"/>
        </w:rPr>
        <w:t xml:space="preserve"> diesel engine at</w:t>
      </w:r>
      <w:r w:rsidR="0038480B">
        <w:rPr>
          <w:sz w:val="24"/>
          <w:szCs w:val="24"/>
        </w:rPr>
        <w:t xml:space="preserve"> </w:t>
      </w:r>
      <w:r w:rsidR="00060D05">
        <w:rPr>
          <w:sz w:val="24"/>
          <w:szCs w:val="24"/>
        </w:rPr>
        <w:t>900 17</w:t>
      </w:r>
      <w:r w:rsidR="00060D05" w:rsidRPr="00060D05">
        <w:rPr>
          <w:sz w:val="24"/>
          <w:szCs w:val="24"/>
          <w:vertAlign w:val="superscript"/>
        </w:rPr>
        <w:t>th</w:t>
      </w:r>
      <w:r w:rsidR="00060D05">
        <w:rPr>
          <w:sz w:val="24"/>
          <w:szCs w:val="24"/>
        </w:rPr>
        <w:t xml:space="preserve"> Street NW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A60CDE">
        <w:rPr>
          <w:sz w:val="24"/>
        </w:rPr>
        <w:t>March 20</w:t>
      </w:r>
      <w:r w:rsidR="00060D05">
        <w:rPr>
          <w:sz w:val="24"/>
        </w:rPr>
        <w:t>, 2015</w:t>
      </w:r>
      <w:r w:rsidR="00E47D16">
        <w:rPr>
          <w:sz w:val="24"/>
        </w:rPr>
        <w:t xml:space="preserve"> and</w:t>
      </w:r>
      <w:r w:rsidR="00A91AB0">
        <w:rPr>
          <w:sz w:val="24"/>
        </w:rPr>
        <w:t xml:space="preserve"> </w:t>
      </w:r>
      <w:r w:rsidR="00E47D16">
        <w:rPr>
          <w:sz w:val="24"/>
        </w:rPr>
        <w:t>received</w:t>
      </w:r>
      <w:r w:rsidR="0038480B">
        <w:rPr>
          <w:sz w:val="24"/>
        </w:rPr>
        <w:t xml:space="preserve"> </w:t>
      </w:r>
      <w:r w:rsidR="00A60CDE">
        <w:rPr>
          <w:sz w:val="24"/>
        </w:rPr>
        <w:t>March 24</w:t>
      </w:r>
      <w:r w:rsidR="001D5F60">
        <w:rPr>
          <w:sz w:val="24"/>
        </w:rPr>
        <w:t>, 201</w:t>
      </w:r>
      <w:r w:rsidR="00A60CDE">
        <w:rPr>
          <w:sz w:val="24"/>
        </w:rPr>
        <w:t>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w:t>
      </w:r>
      <w:r w:rsidR="00FE3C54">
        <w:rPr>
          <w:sz w:val="24"/>
          <w:szCs w:val="24"/>
        </w:rPr>
        <w:t>May</w:t>
      </w:r>
      <w:r w:rsidR="00E47D16">
        <w:rPr>
          <w:sz w:val="24"/>
          <w:szCs w:val="24"/>
        </w:rPr>
        <w:t xml:space="preserve"> </w:t>
      </w:r>
      <w:r w:rsidR="00F656CC">
        <w:rPr>
          <w:sz w:val="24"/>
          <w:szCs w:val="24"/>
        </w:rPr>
        <w:t>25</w:t>
      </w:r>
      <w:r w:rsidR="00FE3C54">
        <w:rPr>
          <w:sz w:val="24"/>
          <w:szCs w:val="24"/>
        </w:rPr>
        <w:t>, 2020</w:t>
      </w:r>
      <w:r w:rsidR="00E47D16">
        <w:rPr>
          <w:sz w:val="24"/>
          <w:szCs w:val="24"/>
        </w:rPr>
        <w:t>.</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t for an extension by</w:t>
      </w:r>
      <w:r w:rsidR="00FE3C54">
        <w:rPr>
          <w:sz w:val="24"/>
          <w:szCs w:val="24"/>
        </w:rPr>
        <w:t xml:space="preserve"> </w:t>
      </w:r>
      <w:r w:rsidR="006132AB">
        <w:rPr>
          <w:sz w:val="24"/>
          <w:szCs w:val="24"/>
        </w:rPr>
        <w:t>February</w:t>
      </w:r>
      <w:r w:rsidR="00F656CC">
        <w:rPr>
          <w:sz w:val="24"/>
          <w:szCs w:val="24"/>
        </w:rPr>
        <w:t xml:space="preserve"> 25</w:t>
      </w:r>
      <w:r w:rsidR="00FE3C54">
        <w:rPr>
          <w:sz w:val="24"/>
          <w:szCs w:val="24"/>
        </w:rPr>
        <w:t>, 2020</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w:t>
      </w:r>
      <w:proofErr w:type="spellStart"/>
      <w:r w:rsidR="000944AE" w:rsidRPr="00975D79">
        <w:rPr>
          <w:sz w:val="24"/>
          <w:szCs w:val="24"/>
        </w:rPr>
        <w:t>Permittee</w:t>
      </w:r>
      <w:proofErr w:type="spellEnd"/>
      <w:r w:rsidR="000944AE" w:rsidRPr="00975D79">
        <w:rPr>
          <w:sz w:val="24"/>
          <w:szCs w:val="24"/>
        </w:rPr>
        <w:t xml:space="preserv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 xml:space="preserve">Enter upon the </w:t>
      </w:r>
      <w:proofErr w:type="spellStart"/>
      <w:r w:rsidRPr="00975D79">
        <w:rPr>
          <w:sz w:val="24"/>
          <w:szCs w:val="24"/>
        </w:rPr>
        <w:t>Permittee’s</w:t>
      </w:r>
      <w:proofErr w:type="spellEnd"/>
      <w:r w:rsidRPr="00975D79">
        <w:rPr>
          <w:sz w:val="24"/>
          <w:szCs w:val="24"/>
        </w:rPr>
        <w:t xml:space="preserve">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lastRenderedPageBreak/>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The emergency generator may be operated for the purpose of maintenance checks and readiness testing for a period not to exceed one hundred (100) hours per calendar year. Any such operation shall be considered as part of the 500 hours allowed under Condition III(a)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 xml:space="preserve">The </w:t>
      </w:r>
      <w:proofErr w:type="spellStart"/>
      <w:r w:rsidR="00226320" w:rsidRPr="00226320">
        <w:rPr>
          <w:sz w:val="24"/>
          <w:szCs w:val="24"/>
        </w:rPr>
        <w:t>Permittee</w:t>
      </w:r>
      <w:proofErr w:type="spellEnd"/>
      <w:r w:rsidR="00226320" w:rsidRPr="00226320">
        <w:rPr>
          <w:sz w:val="24"/>
          <w:szCs w:val="24"/>
        </w:rPr>
        <w:t xml:space="preserve"> shall purchase only diesel fuel that contains a maximum sulfur conten</w:t>
      </w:r>
      <w:r w:rsidR="00F656CC">
        <w:rPr>
          <w:sz w:val="24"/>
          <w:szCs w:val="24"/>
        </w:rPr>
        <w:t>t of 15</w:t>
      </w:r>
      <w:r w:rsidR="00226320" w:rsidRPr="00226320">
        <w:rPr>
          <w:sz w:val="24"/>
          <w:szCs w:val="24"/>
        </w:rPr>
        <w:t xml:space="preserve"> ppm (0.0</w:t>
      </w:r>
      <w:r w:rsidR="00F656CC">
        <w:rPr>
          <w:sz w:val="24"/>
          <w:szCs w:val="24"/>
        </w:rPr>
        <w:t>01</w:t>
      </w:r>
      <w:r w:rsidR="00226320">
        <w:rPr>
          <w:sz w:val="24"/>
          <w:szCs w:val="24"/>
        </w:rPr>
        <w:t>5</w:t>
      </w:r>
      <w:r w:rsidR="00226320" w:rsidRPr="00226320">
        <w:rPr>
          <w:sz w:val="24"/>
          <w:szCs w:val="24"/>
        </w:rPr>
        <w:t>% by weight) for use in the generator set. [20 DCMR 201]</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 xml:space="preserve">In order to ensure compliance with Condition III(a), the owner or operator shall monitor the total hours of operation each month with the use of properly functioning, non-resettable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8374BC" w:rsidRPr="008374BC" w:rsidRDefault="008374BC" w:rsidP="008374BC">
      <w:pPr>
        <w:ind w:left="720" w:hanging="360"/>
        <w:rPr>
          <w:sz w:val="24"/>
          <w:szCs w:val="24"/>
        </w:rPr>
      </w:pPr>
      <w:r w:rsidRPr="008374BC">
        <w:rPr>
          <w:sz w:val="24"/>
          <w:szCs w:val="24"/>
        </w:rPr>
        <w:lastRenderedPageBreak/>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by the Department. [20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lastRenderedPageBreak/>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F656CC" w:rsidP="00F656CC">
      <w:pPr>
        <w:ind w:left="1440" w:hanging="360"/>
        <w:rPr>
          <w:sz w:val="24"/>
          <w:szCs w:val="24"/>
        </w:rPr>
      </w:pPr>
      <w:r w:rsidRPr="005363F6">
        <w:rPr>
          <w:sz w:val="24"/>
          <w:szCs w:val="24"/>
        </w:rPr>
        <w:t>A.</w:t>
      </w:r>
      <w:r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F656CC" w:rsidP="00F656CC">
      <w:pPr>
        <w:ind w:left="1440" w:hanging="360"/>
        <w:rPr>
          <w:sz w:val="24"/>
          <w:szCs w:val="24"/>
        </w:rPr>
      </w:pPr>
      <w:r w:rsidRPr="005363F6">
        <w:rPr>
          <w:sz w:val="24"/>
          <w:szCs w:val="24"/>
        </w:rPr>
        <w:t>B.</w:t>
      </w:r>
      <w:r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F656CC" w:rsidP="00F656CC">
      <w:pPr>
        <w:ind w:left="1440" w:hanging="360"/>
        <w:rPr>
          <w:sz w:val="24"/>
          <w:szCs w:val="24"/>
        </w:rPr>
      </w:pPr>
      <w:r w:rsidRPr="005363F6">
        <w:rPr>
          <w:sz w:val="24"/>
          <w:szCs w:val="24"/>
        </w:rPr>
        <w:t>C.</w:t>
      </w:r>
      <w:r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F656CC" w:rsidP="00F656CC">
      <w:pPr>
        <w:ind w:left="1440" w:hanging="360"/>
        <w:rPr>
          <w:sz w:val="24"/>
          <w:szCs w:val="24"/>
        </w:rPr>
      </w:pPr>
      <w:r w:rsidRPr="005363F6">
        <w:rPr>
          <w:sz w:val="24"/>
          <w:szCs w:val="24"/>
        </w:rPr>
        <w:t>D.</w:t>
      </w:r>
      <w:r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F656CC" w:rsidP="00F656CC">
      <w:pPr>
        <w:ind w:left="1440" w:hanging="360"/>
        <w:rPr>
          <w:sz w:val="24"/>
          <w:szCs w:val="24"/>
        </w:rPr>
      </w:pPr>
      <w:r w:rsidRPr="005363F6">
        <w:rPr>
          <w:sz w:val="24"/>
          <w:szCs w:val="24"/>
        </w:rPr>
        <w:t>E.</w:t>
      </w:r>
      <w:r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r w:rsidR="002B6FB4">
        <w:rPr>
          <w:sz w:val="24"/>
          <w:szCs w:val="24"/>
        </w:rPr>
        <w:t>:GB</w:t>
      </w:r>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4B" w:rsidRDefault="007F1E4B">
      <w:r>
        <w:separator/>
      </w:r>
    </w:p>
  </w:endnote>
  <w:endnote w:type="continuationSeparator" w:id="0">
    <w:p w:rsidR="007F1E4B" w:rsidRDefault="007F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CC" w:rsidRPr="00A67445" w:rsidRDefault="00F656CC" w:rsidP="00F656CC">
    <w:pPr>
      <w:pStyle w:val="Footer"/>
      <w:tabs>
        <w:tab w:val="clear" w:pos="4320"/>
        <w:tab w:val="clear" w:pos="8640"/>
        <w:tab w:val="right" w:pos="-4680"/>
      </w:tabs>
      <w:jc w:val="center"/>
    </w:pPr>
    <w:r>
      <w:rPr>
        <w:noProof/>
      </w:rPr>
      <w:drawing>
        <wp:anchor distT="0" distB="0" distL="114300" distR="114300" simplePos="0" relativeHeight="251662336" behindDoc="1" locked="0" layoutInCell="1" allowOverlap="1" wp14:anchorId="741D48C3" wp14:editId="227D4E3D">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sz w:val="24"/>
        <w:szCs w:val="24"/>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8415" r="9525" b="1016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" strokeweight="1.5pt">
              <w10:wrap type="topAndBottom" anchorx="page"/>
            </v:line>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4445"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1L7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891L7eQIAAPsEAAAO&#10;AAAAAAAAAAAAAAAAAC4CAABkcnMvZTJvRG9jLnhtbFBLAQItABQABgAIAAAAIQBPwbF+3gAAAAoB&#10;AAAPAAAAAAAAAAAAAAAAANMEAABkcnMvZG93bnJldi54bWxQSwUGAAAAAAQABADzAAAA3gUAAAAA&#10;" stroked="f">
              <w10:wrap type="square"/>
            </v:rect>
          </w:pict>
        </mc:Fallback>
      </mc:AlternateContent>
    </w:r>
    <w:r>
      <w:rPr>
        <w:noProof/>
      </w:rPr>
      <w:drawing>
        <wp:anchor distT="0" distB="0" distL="114300" distR="114300" simplePos="0" relativeHeight="251661312" behindDoc="1" locked="0" layoutInCell="1" allowOverlap="1" wp14:anchorId="3C2F3521" wp14:editId="7A160AF3">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t xml:space="preserve">                     1200 First St. NE, 5</w:t>
    </w:r>
    <w:r w:rsidRPr="00E92CC7">
      <w:t>th</w:t>
    </w:r>
    <w:r>
      <w:t xml:space="preserve"> Floor, Washington, DC 20002 | </w:t>
    </w:r>
    <w:proofErr w:type="spellStart"/>
    <w:r>
      <w:t>tel</w:t>
    </w:r>
    <w:proofErr w:type="spellEnd"/>
    <w:r>
      <w:t>: 202.535.2600 | web: ddoe.dc.gov</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4B" w:rsidRDefault="007F1E4B">
      <w:r>
        <w:separator/>
      </w:r>
    </w:p>
  </w:footnote>
  <w:footnote w:type="continuationSeparator" w:id="0">
    <w:p w:rsidR="007F1E4B" w:rsidRDefault="007F1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BA029F" w:rsidP="008A0025">
    <w:pPr>
      <w:pStyle w:val="Header"/>
      <w:rPr>
        <w:rFonts w:ascii="Times New Roman Bold" w:hAnsi="Times New Roman Bold"/>
        <w:b/>
        <w:caps/>
        <w:sz w:val="24"/>
        <w:szCs w:val="24"/>
      </w:rPr>
    </w:pPr>
    <w:r w:rsidRPr="00F656CC">
      <w:rPr>
        <w:rFonts w:ascii="Times New Roman Bold" w:hAnsi="Times New Roman Bold"/>
        <w:b/>
        <w:caps/>
        <w:sz w:val="24"/>
        <w:szCs w:val="24"/>
      </w:rPr>
      <w:t>Gnarei 1 Farragut LLC</w:t>
    </w:r>
  </w:p>
  <w:p w:rsidR="00B85832" w:rsidRPr="00FB0D57" w:rsidRDefault="00B85832" w:rsidP="00CE0A51">
    <w:pPr>
      <w:pStyle w:val="Header"/>
      <w:ind w:left="360" w:hanging="360"/>
      <w:rPr>
        <w:b/>
        <w:bCs/>
        <w:sz w:val="24"/>
        <w:szCs w:val="24"/>
      </w:rPr>
    </w:pPr>
    <w:r w:rsidRPr="00CE0A51">
      <w:rPr>
        <w:b/>
        <w:sz w:val="24"/>
        <w:szCs w:val="24"/>
      </w:rPr>
      <w:t>Permit (#</w:t>
    </w:r>
    <w:r w:rsidR="00BA029F">
      <w:rPr>
        <w:b/>
        <w:sz w:val="24"/>
        <w:szCs w:val="24"/>
      </w:rPr>
      <w:t>7001</w:t>
    </w:r>
    <w:r w:rsidRPr="00CE0A51">
      <w:rPr>
        <w:b/>
        <w:sz w:val="24"/>
        <w:szCs w:val="24"/>
      </w:rPr>
      <w:t>) to Operate a</w:t>
    </w:r>
    <w:r w:rsidR="00BA029F">
      <w:rPr>
        <w:b/>
        <w:sz w:val="24"/>
        <w:szCs w:val="24"/>
      </w:rPr>
      <w:t xml:space="preserve"> 20</w:t>
    </w:r>
    <w:r w:rsidR="00415C8A">
      <w:rPr>
        <w:b/>
        <w:sz w:val="24"/>
        <w:szCs w:val="24"/>
      </w:rPr>
      <w:t xml:space="preserve">0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p>
  <w:p w:rsidR="00B85832" w:rsidRPr="005B24E6" w:rsidRDefault="00F656CC" w:rsidP="008A0025">
    <w:pPr>
      <w:pStyle w:val="Header"/>
      <w:rPr>
        <w:sz w:val="24"/>
        <w:szCs w:val="24"/>
      </w:rPr>
    </w:pPr>
    <w:r>
      <w:rPr>
        <w:sz w:val="24"/>
        <w:szCs w:val="24"/>
      </w:rPr>
      <w:t>May 26</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5363F6">
      <w:rPr>
        <w:noProof/>
        <w:sz w:val="24"/>
        <w:szCs w:val="24"/>
      </w:rPr>
      <w:t>2</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C15FF"/>
    <w:rsid w:val="003C1F7A"/>
    <w:rsid w:val="003C2BC8"/>
    <w:rsid w:val="003C7446"/>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D16"/>
    <w:rsid w:val="00E55360"/>
    <w:rsid w:val="00E76718"/>
    <w:rsid w:val="00E84D6A"/>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60A6-1E9C-4017-8A8D-3770996C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TotalTime>
  <Pages>5</Pages>
  <Words>1486</Words>
  <Characters>8476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ServUS</cp:lastModifiedBy>
  <cp:revision>2</cp:revision>
  <cp:lastPrinted>2014-01-22T21:02:00Z</cp:lastPrinted>
  <dcterms:created xsi:type="dcterms:W3CDTF">2015-04-15T15:29:00Z</dcterms:created>
  <dcterms:modified xsi:type="dcterms:W3CDTF">2015-04-15T15:29:00Z</dcterms:modified>
</cp:coreProperties>
</file>