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0F" w:rsidRDefault="000854E1" w:rsidP="002C7751">
      <w:pPr>
        <w:pStyle w:val="Signature"/>
        <w:rPr>
          <w:rFonts w:eastAsiaTheme="majorEastAsia"/>
        </w:rPr>
      </w:pPr>
      <w:r>
        <w:t>March</w:t>
      </w:r>
      <w:r w:rsidR="002D76A8">
        <w:t xml:space="preserve"> 1</w:t>
      </w:r>
      <w:r>
        <w:t>4</w:t>
      </w:r>
      <w:r w:rsidR="002D76A8">
        <w:t>, 2017</w:t>
      </w:r>
    </w:p>
    <w:p w:rsidR="00ED780F" w:rsidRDefault="00ED780F" w:rsidP="002C7751">
      <w:pPr>
        <w:pStyle w:val="Signature"/>
        <w:rPr>
          <w:rFonts w:eastAsiaTheme="majorEastAsia"/>
        </w:rPr>
      </w:pPr>
    </w:p>
    <w:p w:rsidR="00894C01" w:rsidRDefault="002D76A8" w:rsidP="002C7751">
      <w:pPr>
        <w:pStyle w:val="Signature"/>
        <w:rPr>
          <w:rFonts w:eastAsiaTheme="majorEastAsia"/>
        </w:rPr>
      </w:pPr>
      <w:r>
        <w:t>Steve</w:t>
      </w:r>
      <w:r w:rsidR="002C7751">
        <w:rPr>
          <w:rFonts w:eastAsiaTheme="majorEastAsia"/>
        </w:rPr>
        <w:t xml:space="preserve"> </w:t>
      </w:r>
      <w:r>
        <w:t>Harloe</w:t>
      </w:r>
    </w:p>
    <w:p w:rsidR="002C7751" w:rsidRDefault="002D76A8" w:rsidP="00354C2B">
      <w:pPr>
        <w:pStyle w:val="Signature"/>
        <w:rPr>
          <w:rFonts w:eastAsiaTheme="majorEastAsia"/>
        </w:rPr>
      </w:pPr>
      <w:r>
        <w:t>Director, Development</w:t>
      </w:r>
    </w:p>
    <w:p w:rsidR="002C7751" w:rsidRDefault="002D76A8" w:rsidP="00354C2B">
      <w:pPr>
        <w:pStyle w:val="Signature"/>
        <w:rPr>
          <w:rFonts w:eastAsiaTheme="majorEastAsia"/>
        </w:rPr>
      </w:pPr>
      <w:r>
        <w:t>Adams Morgan Hotel Owner LLC</w:t>
      </w:r>
    </w:p>
    <w:p w:rsidR="002C7751" w:rsidRDefault="002D76A8" w:rsidP="002C7751">
      <w:pPr>
        <w:pStyle w:val="Signature"/>
        <w:rPr>
          <w:rFonts w:eastAsiaTheme="majorEastAsia"/>
        </w:rPr>
      </w:pPr>
      <w:r>
        <w:t>30 West 26th Street</w:t>
      </w:r>
    </w:p>
    <w:p w:rsidR="000A6986" w:rsidRDefault="002D76A8" w:rsidP="00D52826">
      <w:pPr>
        <w:pStyle w:val="Signature"/>
        <w:ind w:left="720" w:hanging="720"/>
        <w:rPr>
          <w:rFonts w:eastAsiaTheme="majorEastAsia"/>
        </w:rPr>
      </w:pPr>
      <w:r>
        <w:t>New York</w:t>
      </w:r>
      <w:r w:rsidR="00A070EE">
        <w:rPr>
          <w:rFonts w:eastAsiaTheme="majorEastAsia"/>
        </w:rPr>
        <w:t xml:space="preserve">, </w:t>
      </w:r>
      <w:r>
        <w:t>NY</w:t>
      </w:r>
      <w:r w:rsidR="00A070EE">
        <w:rPr>
          <w:rFonts w:eastAsiaTheme="majorEastAsia"/>
        </w:rPr>
        <w:t xml:space="preserve"> </w:t>
      </w:r>
      <w:r>
        <w:t>10010</w:t>
      </w:r>
    </w:p>
    <w:p w:rsidR="00C24193" w:rsidRPr="000A6986" w:rsidRDefault="00C24193" w:rsidP="00C24193">
      <w:pPr>
        <w:pStyle w:val="Signature"/>
        <w:rPr>
          <w:rFonts w:eastAsiaTheme="majorEastAsia"/>
        </w:rPr>
      </w:pPr>
    </w:p>
    <w:p w:rsidR="00354C2B" w:rsidRPr="00A070EE" w:rsidRDefault="000854E1" w:rsidP="00A070EE">
      <w:pPr>
        <w:pStyle w:val="Signature"/>
        <w:ind w:left="720" w:hanging="720"/>
        <w:rPr>
          <w:rFonts w:eastAsiaTheme="majorEastAsia"/>
          <w:b/>
        </w:rPr>
      </w:pPr>
      <w:r>
        <w:rPr>
          <w:rFonts w:eastAsiaTheme="majorEastAsia"/>
          <w:b/>
        </w:rPr>
        <w:t>RE:</w:t>
      </w:r>
      <w:r>
        <w:rPr>
          <w:rFonts w:eastAsiaTheme="majorEastAsia"/>
          <w:b/>
        </w:rPr>
        <w:tab/>
        <w:t xml:space="preserve">Permit No. </w:t>
      </w:r>
      <w:r w:rsidR="002D76A8" w:rsidRPr="002D76A8">
        <w:rPr>
          <w:b/>
        </w:rPr>
        <w:t>7165</w:t>
      </w:r>
      <w:r w:rsidR="00354C2B" w:rsidRPr="00A070EE">
        <w:rPr>
          <w:rFonts w:eastAsiaTheme="majorEastAsia"/>
          <w:b/>
        </w:rPr>
        <w:t xml:space="preserve"> to Construct and </w:t>
      </w:r>
      <w:r w:rsidR="009B175A" w:rsidRPr="00A070EE">
        <w:rPr>
          <w:rFonts w:eastAsiaTheme="majorEastAsia"/>
          <w:b/>
        </w:rPr>
        <w:t xml:space="preserve">Operate an Emergency Generator at </w:t>
      </w:r>
      <w:r w:rsidR="002D76A8" w:rsidRPr="002D76A8">
        <w:rPr>
          <w:b/>
        </w:rPr>
        <w:t xml:space="preserve">1770 Euclid Street NW, Washington, DC </w:t>
      </w:r>
      <w:r w:rsidR="002D76A8">
        <w:t>20009</w:t>
      </w:r>
    </w:p>
    <w:p w:rsidR="00A070EE" w:rsidRPr="006F56EB" w:rsidRDefault="00A070EE" w:rsidP="00A070EE">
      <w:pPr>
        <w:pStyle w:val="Signature"/>
        <w:ind w:left="720" w:hanging="720"/>
        <w:rPr>
          <w:rFonts w:eastAsiaTheme="majorEastAsia"/>
        </w:rPr>
      </w:pPr>
    </w:p>
    <w:p w:rsidR="00354C2B" w:rsidRPr="006F56EB" w:rsidRDefault="00354C2B" w:rsidP="00354C2B">
      <w:pPr>
        <w:pStyle w:val="Signature"/>
        <w:rPr>
          <w:rFonts w:eastAsiaTheme="majorEastAsia"/>
        </w:rPr>
      </w:pPr>
      <w:r w:rsidRPr="006F56EB">
        <w:rPr>
          <w:rFonts w:eastAsiaTheme="majorEastAsia"/>
        </w:rPr>
        <w:t xml:space="preserve">Dear </w:t>
      </w:r>
      <w:r w:rsidR="002D76A8">
        <w:t>Mr.</w:t>
      </w:r>
      <w:r w:rsidR="00A070EE">
        <w:rPr>
          <w:rFonts w:eastAsiaTheme="majorEastAsia"/>
        </w:rPr>
        <w:t xml:space="preserve"> </w:t>
      </w:r>
      <w:r w:rsidR="002D76A8">
        <w:t>Harloe</w:t>
      </w:r>
      <w:r w:rsidRPr="006F56EB">
        <w:rPr>
          <w:rFonts w:eastAsiaTheme="majorEastAsia"/>
        </w:rPr>
        <w:t>:</w:t>
      </w:r>
    </w:p>
    <w:p w:rsidR="00354C2B" w:rsidRPr="006F56EB" w:rsidRDefault="00354C2B" w:rsidP="00354C2B">
      <w:pPr>
        <w:pStyle w:val="Signature"/>
        <w:rPr>
          <w:rFonts w:eastAsiaTheme="majorEastAsia"/>
        </w:rPr>
      </w:pPr>
    </w:p>
    <w:p w:rsidR="00354C2B" w:rsidRDefault="00354C2B" w:rsidP="00354C2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2D76A8">
        <w:t>Adams Morgan Hotel Owner LLC</w:t>
      </w:r>
      <w:r>
        <w:rPr>
          <w:rFonts w:eastAsiaTheme="majorEastAsia"/>
        </w:rPr>
        <w:t xml:space="preserve"> </w:t>
      </w:r>
      <w:r w:rsidRPr="006F56EB">
        <w:rPr>
          <w:rFonts w:eastAsiaTheme="majorEastAsia"/>
        </w:rPr>
        <w:t xml:space="preserve">(“the Permittee”) to </w:t>
      </w:r>
      <w:r w:rsidR="009B175A">
        <w:rPr>
          <w:rFonts w:eastAsiaTheme="majorEastAsia"/>
        </w:rPr>
        <w:t xml:space="preserve">construct and </w:t>
      </w:r>
      <w:r w:rsidRPr="006F56EB">
        <w:rPr>
          <w:rFonts w:eastAsiaTheme="majorEastAsia"/>
        </w:rPr>
        <w:t xml:space="preserve">operate one (1) </w:t>
      </w:r>
      <w:r w:rsidR="002D76A8">
        <w:t>505</w:t>
      </w:r>
      <w:r w:rsidRPr="006F56EB">
        <w:rPr>
          <w:rFonts w:eastAsiaTheme="majorEastAsia"/>
        </w:rPr>
        <w:t xml:space="preserve"> </w:t>
      </w:r>
      <w:proofErr w:type="spellStart"/>
      <w:r w:rsidRPr="006F56EB">
        <w:rPr>
          <w:rFonts w:eastAsiaTheme="majorEastAsia"/>
        </w:rPr>
        <w:t>kW</w:t>
      </w:r>
      <w:r w:rsidR="009B175A">
        <w:rPr>
          <w:rFonts w:eastAsiaTheme="majorEastAsia"/>
        </w:rPr>
        <w:t>e</w:t>
      </w:r>
      <w:proofErr w:type="spellEnd"/>
      <w:r w:rsidRPr="006F56EB">
        <w:rPr>
          <w:rFonts w:eastAsiaTheme="majorEastAsia"/>
        </w:rPr>
        <w:t xml:space="preserve"> emergency generator set </w:t>
      </w:r>
      <w:r w:rsidR="000854E1">
        <w:rPr>
          <w:rFonts w:eastAsiaTheme="majorEastAsia"/>
        </w:rPr>
        <w:t>powered by</w:t>
      </w:r>
      <w:r>
        <w:rPr>
          <w:rFonts w:eastAsiaTheme="majorEastAsia"/>
        </w:rPr>
        <w:t xml:space="preserve"> a </w:t>
      </w:r>
      <w:r w:rsidR="002D76A8">
        <w:t>563</w:t>
      </w:r>
      <w:r w:rsidR="009B175A">
        <w:rPr>
          <w:rFonts w:eastAsiaTheme="majorEastAsia"/>
        </w:rPr>
        <w:t xml:space="preserve"> </w:t>
      </w:r>
      <w:proofErr w:type="spellStart"/>
      <w:r w:rsidR="009B175A">
        <w:rPr>
          <w:rFonts w:eastAsiaTheme="majorEastAsia"/>
        </w:rPr>
        <w:t>kWm</w:t>
      </w:r>
      <w:proofErr w:type="spellEnd"/>
      <w:r w:rsidR="009B175A">
        <w:rPr>
          <w:rFonts w:eastAsiaTheme="majorEastAsia"/>
        </w:rPr>
        <w:t xml:space="preserve"> </w:t>
      </w:r>
      <w:r>
        <w:rPr>
          <w:rFonts w:eastAsiaTheme="majorEastAsia"/>
        </w:rPr>
        <w:t>diesel</w:t>
      </w:r>
      <w:r w:rsidR="009B175A">
        <w:rPr>
          <w:rFonts w:eastAsiaTheme="majorEastAsia"/>
        </w:rPr>
        <w:t>-</w:t>
      </w:r>
      <w:r>
        <w:rPr>
          <w:rFonts w:eastAsiaTheme="majorEastAsia"/>
        </w:rPr>
        <w:t xml:space="preserve">fired engine </w:t>
      </w:r>
      <w:r w:rsidRPr="006F56EB">
        <w:rPr>
          <w:rFonts w:eastAsiaTheme="majorEastAsia"/>
        </w:rPr>
        <w:t xml:space="preserve">at the property located at </w:t>
      </w:r>
      <w:r w:rsidR="002D76A8">
        <w:t>1770 Euclid Street NW, Washington, DC 20009</w:t>
      </w:r>
      <w:r w:rsidRPr="006F56EB">
        <w:rPr>
          <w:rFonts w:eastAsiaTheme="majorEastAsia"/>
        </w:rPr>
        <w:t xml:space="preserve">, per the submitted plans and </w:t>
      </w:r>
      <w:r>
        <w:rPr>
          <w:rFonts w:eastAsiaTheme="majorEastAsia"/>
        </w:rPr>
        <w:t xml:space="preserve">specifications, received on </w:t>
      </w:r>
      <w:r w:rsidR="002D76A8">
        <w:t>December 12, 2016</w:t>
      </w:r>
      <w:r>
        <w:rPr>
          <w:rFonts w:eastAsiaTheme="majorEastAsia"/>
        </w:rPr>
        <w:t>,</w:t>
      </w:r>
      <w:r w:rsidRPr="006F56EB">
        <w:rPr>
          <w:rFonts w:eastAsiaTheme="majorEastAsia"/>
        </w:rPr>
        <w:t xml:space="preserve"> is hereby approved, 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F01789" w:rsidRPr="00975D79">
        <w:t xml:space="preserve">This permit </w:t>
      </w:r>
      <w:r w:rsidR="00F01789" w:rsidRPr="00AB4EA6">
        <w:t xml:space="preserve">expires </w:t>
      </w:r>
      <w:r w:rsidR="00F01789">
        <w:t xml:space="preserve">on </w:t>
      </w:r>
      <w:r w:rsidR="000854E1">
        <w:t>March 13</w:t>
      </w:r>
      <w:r w:rsidR="002D76A8">
        <w:t>, 2022</w:t>
      </w:r>
      <w:r w:rsidR="00F01789">
        <w:t>.</w:t>
      </w:r>
      <w:r w:rsidR="00F01789" w:rsidRPr="00975D79">
        <w:t xml:space="preserve"> [20 DCMR 200.4]  If continued operation after this date is desired, the </w:t>
      </w:r>
      <w:r w:rsidR="00F01789">
        <w:t>Permittee</w:t>
      </w:r>
      <w:r w:rsidR="00F01789" w:rsidRPr="00975D79">
        <w:t xml:space="preserve"> shall submit a</w:t>
      </w:r>
      <w:r w:rsidR="00F01789">
        <w:t xml:space="preserve"> renewal application by </w:t>
      </w:r>
      <w:r w:rsidR="000854E1">
        <w:t>December 13</w:t>
      </w:r>
      <w:r w:rsidR="002D76A8">
        <w:t>, 2021</w:t>
      </w:r>
      <w:r w:rsidR="00A4166D">
        <w:t>.</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520"/>
        <w:gridCol w:w="2880"/>
      </w:tblGrid>
      <w:tr w:rsidR="00692110" w:rsidTr="00E93C25">
        <w:tc>
          <w:tcPr>
            <w:tcW w:w="8370" w:type="dxa"/>
            <w:gridSpan w:val="3"/>
          </w:tcPr>
          <w:p w:rsidR="00692110" w:rsidRPr="0074136B" w:rsidRDefault="00692110" w:rsidP="008D3328">
            <w:pPr>
              <w:jc w:val="center"/>
              <w:rPr>
                <w:b/>
              </w:rPr>
            </w:pPr>
            <w:r>
              <w:rPr>
                <w:b/>
              </w:rPr>
              <w:t>Pollutant Emission Limits (g/kW</w:t>
            </w:r>
            <w:r w:rsidRPr="0074136B">
              <w:rPr>
                <w:b/>
              </w:rPr>
              <w:t>-hr)</w:t>
            </w:r>
          </w:p>
        </w:tc>
      </w:tr>
      <w:tr w:rsidR="00692110" w:rsidTr="00C42FFD">
        <w:tc>
          <w:tcPr>
            <w:tcW w:w="2970" w:type="dxa"/>
          </w:tcPr>
          <w:p w:rsidR="00692110" w:rsidRPr="00730BFF" w:rsidRDefault="00692110" w:rsidP="008D3328">
            <w:pPr>
              <w:jc w:val="center"/>
            </w:pPr>
            <w:proofErr w:type="spellStart"/>
            <w:r>
              <w:t>NMHC+</w:t>
            </w:r>
            <w:r w:rsidRPr="00730BFF">
              <w:t>NOx</w:t>
            </w:r>
            <w:proofErr w:type="spellEnd"/>
          </w:p>
        </w:tc>
        <w:tc>
          <w:tcPr>
            <w:tcW w:w="2520" w:type="dxa"/>
          </w:tcPr>
          <w:p w:rsidR="00692110" w:rsidRPr="00730BFF" w:rsidRDefault="00692110" w:rsidP="008D3328">
            <w:pPr>
              <w:jc w:val="center"/>
            </w:pPr>
            <w:r>
              <w:t>CO</w:t>
            </w:r>
          </w:p>
        </w:tc>
        <w:tc>
          <w:tcPr>
            <w:tcW w:w="2880" w:type="dxa"/>
          </w:tcPr>
          <w:p w:rsidR="00692110" w:rsidRPr="00730BFF" w:rsidRDefault="00692110" w:rsidP="008D3328">
            <w:pPr>
              <w:jc w:val="center"/>
            </w:pPr>
            <w:r>
              <w:t>PM</w:t>
            </w:r>
          </w:p>
        </w:tc>
      </w:tr>
      <w:tr w:rsidR="00692110" w:rsidTr="00C42FFD">
        <w:tc>
          <w:tcPr>
            <w:tcW w:w="2970" w:type="dxa"/>
          </w:tcPr>
          <w:p w:rsidR="00692110" w:rsidRDefault="002D76A8" w:rsidP="008D3328">
            <w:pPr>
              <w:jc w:val="center"/>
            </w:pPr>
            <w:r>
              <w:t>6.4</w:t>
            </w:r>
          </w:p>
        </w:tc>
        <w:tc>
          <w:tcPr>
            <w:tcW w:w="2520" w:type="dxa"/>
          </w:tcPr>
          <w:p w:rsidR="00692110" w:rsidRDefault="002D76A8" w:rsidP="008D3328">
            <w:pPr>
              <w:jc w:val="center"/>
            </w:pPr>
            <w:r>
              <w:t>3.5</w:t>
            </w:r>
          </w:p>
        </w:tc>
        <w:tc>
          <w:tcPr>
            <w:tcW w:w="2880" w:type="dxa"/>
          </w:tcPr>
          <w:p w:rsidR="00692110" w:rsidRDefault="002D76A8" w:rsidP="008D3328">
            <w:pPr>
              <w:jc w:val="center"/>
            </w:pPr>
            <w:r>
              <w:t>0.20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w:t>
      </w:r>
      <w:r w:rsidRPr="006243B7">
        <w:lastRenderedPageBreak/>
        <w:t xml:space="preserve">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lastRenderedPageBreak/>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692110" w:rsidRDefault="00692110" w:rsidP="00692110">
      <w:pPr>
        <w:ind w:left="360" w:hanging="360"/>
      </w:pPr>
    </w:p>
    <w:p w:rsidR="00C42FFD" w:rsidRDefault="00C42FFD" w:rsidP="00692110">
      <w:pPr>
        <w:ind w:left="360" w:hanging="360"/>
      </w:pPr>
    </w:p>
    <w:p w:rsidR="00C42FFD" w:rsidRDefault="00C42FFD" w:rsidP="00692110">
      <w:pPr>
        <w:ind w:left="360" w:hanging="360"/>
      </w:pPr>
    </w:p>
    <w:p w:rsidR="00692110" w:rsidRPr="006243B7" w:rsidRDefault="00692110" w:rsidP="00692110">
      <w:pPr>
        <w:ind w:left="360" w:hanging="360"/>
      </w:pPr>
      <w:r w:rsidRPr="006243B7">
        <w:lastRenderedPageBreak/>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 xml:space="preserve">The following information shall be recorded, initialed, and maintained in a log at the facility for a period not less than </w:t>
      </w:r>
      <w:r w:rsidR="00F01789">
        <w:t>three (3</w:t>
      </w:r>
      <w:r w:rsidR="00F01789" w:rsidRPr="006243B7">
        <w:t>) years</w:t>
      </w:r>
      <w:r w:rsidR="00F01789">
        <w:t xml:space="preserve"> from the date the information is obtained</w:t>
      </w:r>
      <w:r w:rsidR="00F01789" w:rsidRPr="006243B7">
        <w:t xml:space="preserve"> [20 DCMR 500.8</w:t>
      </w:r>
      <w:r w:rsidR="00F01789">
        <w:t>]</w:t>
      </w:r>
      <w:r w:rsidR="00F01789"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If the unit is operated for emergency purposes, what classi</w:t>
      </w:r>
      <w:r w:rsidR="000854E1">
        <w:t xml:space="preserve">fied the operation as </w:t>
      </w:r>
      <w:proofErr w:type="gramStart"/>
      <w:r w:rsidR="000854E1">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operation; and</w:t>
      </w:r>
    </w:p>
    <w:p w:rsidR="00F01789" w:rsidRDefault="00F01789" w:rsidP="00F01789">
      <w:pPr>
        <w:tabs>
          <w:tab w:val="num" w:pos="1260"/>
        </w:tabs>
        <w:ind w:left="1080" w:hanging="360"/>
      </w:pPr>
    </w:p>
    <w:p w:rsidR="00F01789" w:rsidRDefault="00F01789" w:rsidP="00F0178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Pr="006243B7"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692110" w:rsidRPr="006243B7" w:rsidRDefault="00692110" w:rsidP="00692110">
      <w:pPr>
        <w:ind w:left="1080" w:hanging="360"/>
      </w:pPr>
      <w:r w:rsidRPr="006243B7">
        <w:lastRenderedPageBreak/>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F01789"/>
    <w:p w:rsidR="00692110" w:rsidRDefault="00692110" w:rsidP="00692110"/>
    <w:p w:rsidR="00222930" w:rsidRPr="005238C4" w:rsidRDefault="00692110" w:rsidP="00BC2979">
      <w:r>
        <w:t>I</w:t>
      </w:r>
      <w:r w:rsidR="00222930" w:rsidRPr="005238C4">
        <w:t>f you have any questions, plea</w:t>
      </w:r>
      <w:r w:rsidR="00382819">
        <w:t>se call me at (202) 535-1747</w:t>
      </w:r>
      <w:r w:rsidR="0022651F">
        <w:t xml:space="preserve"> or Emily Chimiak at (202) 535-2273</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CB6B79" w:rsidRDefault="00CB6B79" w:rsidP="00222930">
      <w:bookmarkStart w:id="0" w:name="_GoBack"/>
      <w:bookmarkEnd w:id="0"/>
    </w:p>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61157C" w:rsidRDefault="0061157C" w:rsidP="00D36912">
      <w:pPr>
        <w:rPr>
          <w:sz w:val="18"/>
          <w:szCs w:val="18"/>
        </w:rPr>
      </w:pPr>
    </w:p>
    <w:p w:rsidR="0061157C" w:rsidRDefault="0061157C" w:rsidP="00D36912">
      <w:pPr>
        <w:rPr>
          <w:sz w:val="18"/>
          <w:szCs w:val="18"/>
        </w:rPr>
      </w:pPr>
    </w:p>
    <w:p w:rsidR="0061157C" w:rsidRDefault="0061157C" w:rsidP="00D36912">
      <w:pPr>
        <w:rPr>
          <w:sz w:val="18"/>
          <w:szCs w:val="18"/>
        </w:rPr>
      </w:pPr>
    </w:p>
    <w:p w:rsidR="00FC7B59" w:rsidRPr="0061157C" w:rsidRDefault="00222930" w:rsidP="00D36912">
      <w:r w:rsidRPr="0061157C">
        <w:t>SSO</w:t>
      </w:r>
      <w:proofErr w:type="gramStart"/>
      <w:r w:rsidRPr="0061157C">
        <w:t>:</w:t>
      </w:r>
      <w:r w:rsidR="00382819">
        <w:t>EAC</w:t>
      </w:r>
      <w:proofErr w:type="gramEnd"/>
    </w:p>
    <w:sectPr w:rsidR="00FC7B59" w:rsidRPr="0061157C"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10" w:rsidRDefault="00D94610">
      <w:r>
        <w:separator/>
      </w:r>
    </w:p>
  </w:endnote>
  <w:endnote w:type="continuationSeparator" w:id="0">
    <w:p w:rsidR="00D94610" w:rsidRDefault="00D9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5B2C110" wp14:editId="75A56E7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68C658F" wp14:editId="332108F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5621320" wp14:editId="6E845DD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7119357" wp14:editId="284E695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10" w:rsidRDefault="00D94610">
      <w:r>
        <w:separator/>
      </w:r>
    </w:p>
  </w:footnote>
  <w:footnote w:type="continuationSeparator" w:id="0">
    <w:p w:rsidR="00D94610" w:rsidRDefault="00D9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F3" w:rsidRPr="00B769F3" w:rsidRDefault="002D76A8" w:rsidP="009B175A">
    <w:pPr>
      <w:pStyle w:val="Header"/>
      <w:ind w:left="360" w:hanging="360"/>
      <w:rPr>
        <w:rFonts w:eastAsiaTheme="majorEastAsia"/>
        <w:b/>
        <w:bCs/>
      </w:rPr>
    </w:pPr>
    <w:r w:rsidRPr="002D76A8">
      <w:rPr>
        <w:b/>
      </w:rPr>
      <w:t>Adams Morgan Hotel Owner LLC</w:t>
    </w:r>
  </w:p>
  <w:p w:rsidR="00354C2B" w:rsidRPr="00B769F3" w:rsidRDefault="00354C2B" w:rsidP="000854E1">
    <w:pPr>
      <w:pStyle w:val="Header"/>
      <w:tabs>
        <w:tab w:val="left" w:pos="360"/>
      </w:tabs>
      <w:ind w:left="360" w:hanging="360"/>
      <w:rPr>
        <w:rFonts w:eastAsiaTheme="majorEastAsia"/>
        <w:b/>
      </w:rPr>
    </w:pPr>
    <w:r w:rsidRPr="00B769F3">
      <w:rPr>
        <w:rFonts w:eastAsiaTheme="majorEastAsia"/>
        <w:b/>
      </w:rPr>
      <w:t xml:space="preserve">Permit </w:t>
    </w:r>
    <w:r w:rsidR="000854E1">
      <w:rPr>
        <w:rFonts w:eastAsiaTheme="majorEastAsia"/>
        <w:b/>
      </w:rPr>
      <w:t>No.</w:t>
    </w:r>
    <w:r w:rsidR="00B769F3" w:rsidRPr="00B769F3">
      <w:rPr>
        <w:rFonts w:eastAsiaTheme="majorEastAsia"/>
        <w:b/>
      </w:rPr>
      <w:t xml:space="preserve"> </w:t>
    </w:r>
    <w:r w:rsidR="002D76A8" w:rsidRPr="002D76A8">
      <w:rPr>
        <w:b/>
      </w:rPr>
      <w:t>7165</w:t>
    </w:r>
    <w:r w:rsidR="00B769F3" w:rsidRPr="00B769F3">
      <w:rPr>
        <w:rFonts w:eastAsiaTheme="majorEastAsia"/>
        <w:b/>
      </w:rPr>
      <w:t xml:space="preserve"> </w:t>
    </w:r>
    <w:r w:rsidRPr="00B769F3">
      <w:rPr>
        <w:rFonts w:eastAsiaTheme="majorEastAsia"/>
        <w:b/>
      </w:rPr>
      <w:t xml:space="preserve">to Construct and Operate an Emergency Generator </w:t>
    </w:r>
    <w:r w:rsidR="009B175A" w:rsidRPr="00B769F3">
      <w:rPr>
        <w:rFonts w:eastAsiaTheme="majorEastAsia"/>
        <w:b/>
      </w:rPr>
      <w:t xml:space="preserve">Set at </w:t>
    </w:r>
    <w:r w:rsidR="002D76A8" w:rsidRPr="002D76A8">
      <w:rPr>
        <w:b/>
      </w:rPr>
      <w:t>1770 Euclid Street NW</w:t>
    </w:r>
  </w:p>
  <w:p w:rsidR="00B769F3" w:rsidRDefault="000854E1" w:rsidP="009F120C">
    <w:pPr>
      <w:pStyle w:val="Header"/>
    </w:pPr>
    <w:r>
      <w:t>March 14</w:t>
    </w:r>
    <w:r w:rsidR="002D76A8">
      <w:t>, 2017</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9137B"/>
    <w:rsid w:val="000938C8"/>
    <w:rsid w:val="000A6986"/>
    <w:rsid w:val="000E7703"/>
    <w:rsid w:val="000F11C3"/>
    <w:rsid w:val="000F1F2C"/>
    <w:rsid w:val="0010773E"/>
    <w:rsid w:val="00111AA5"/>
    <w:rsid w:val="001146D1"/>
    <w:rsid w:val="00117635"/>
    <w:rsid w:val="00117758"/>
    <w:rsid w:val="00123779"/>
    <w:rsid w:val="001258D5"/>
    <w:rsid w:val="00131A85"/>
    <w:rsid w:val="001328DD"/>
    <w:rsid w:val="00140828"/>
    <w:rsid w:val="00144954"/>
    <w:rsid w:val="00151DE9"/>
    <w:rsid w:val="00160AE7"/>
    <w:rsid w:val="0016351F"/>
    <w:rsid w:val="00177B6C"/>
    <w:rsid w:val="00187734"/>
    <w:rsid w:val="001A2D01"/>
    <w:rsid w:val="001A5AC0"/>
    <w:rsid w:val="001B0736"/>
    <w:rsid w:val="001C7C5B"/>
    <w:rsid w:val="001D2840"/>
    <w:rsid w:val="001D3493"/>
    <w:rsid w:val="001E27F9"/>
    <w:rsid w:val="001E561C"/>
    <w:rsid w:val="00202519"/>
    <w:rsid w:val="00204DB8"/>
    <w:rsid w:val="002074CD"/>
    <w:rsid w:val="00222930"/>
    <w:rsid w:val="0022651F"/>
    <w:rsid w:val="00271FB2"/>
    <w:rsid w:val="002908A0"/>
    <w:rsid w:val="002C3A46"/>
    <w:rsid w:val="002C7751"/>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23FA6"/>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379EA"/>
    <w:rsid w:val="00B422B0"/>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60A7"/>
    <w:rsid w:val="00E04730"/>
    <w:rsid w:val="00E16D6D"/>
    <w:rsid w:val="00E20183"/>
    <w:rsid w:val="00E37E63"/>
    <w:rsid w:val="00E42F7D"/>
    <w:rsid w:val="00E5085E"/>
    <w:rsid w:val="00E54043"/>
    <w:rsid w:val="00E54C82"/>
    <w:rsid w:val="00E63842"/>
    <w:rsid w:val="00E640CA"/>
    <w:rsid w:val="00E76B93"/>
    <w:rsid w:val="00E8296C"/>
    <w:rsid w:val="00E91DD1"/>
    <w:rsid w:val="00E93C25"/>
    <w:rsid w:val="00EB23C7"/>
    <w:rsid w:val="00EB275A"/>
    <w:rsid w:val="00ED40D5"/>
    <w:rsid w:val="00ED57F7"/>
    <w:rsid w:val="00ED780F"/>
    <w:rsid w:val="00EE3BEE"/>
    <w:rsid w:val="00EE7EB4"/>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6D1D-D042-4CF0-8F6D-18A50909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1851</Words>
  <Characters>9882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11710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2</cp:revision>
  <cp:lastPrinted>2016-04-14T20:01:00Z</cp:lastPrinted>
  <dcterms:created xsi:type="dcterms:W3CDTF">2017-01-30T22:15:00Z</dcterms:created>
  <dcterms:modified xsi:type="dcterms:W3CDTF">2017-01-30T22:15:00Z</dcterms:modified>
</cp:coreProperties>
</file>