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964C97" w:rsidRDefault="00C134D0" w:rsidP="00564065">
      <w:r>
        <w:t>September 11</w:t>
      </w:r>
      <w:r w:rsidR="00CD3BD5">
        <w:t>, 201</w:t>
      </w:r>
      <w:r w:rsidR="00045EF2">
        <w:t>8</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482725" w:rsidRDefault="00045EF2" w:rsidP="00482725">
      <w:pPr>
        <w:jc w:val="both"/>
      </w:pPr>
      <w:r>
        <w:t>M</w:t>
      </w:r>
      <w:r w:rsidR="00194954">
        <w:t>r. David Osborne</w:t>
      </w:r>
    </w:p>
    <w:p w:rsidR="00045EF2" w:rsidRDefault="00194954" w:rsidP="00482725">
      <w:pPr>
        <w:jc w:val="both"/>
      </w:pPr>
      <w:r>
        <w:t>Director, Energy and Engineering</w:t>
      </w:r>
    </w:p>
    <w:p w:rsidR="00045EF2" w:rsidRPr="00CD144E" w:rsidRDefault="00194954" w:rsidP="00482725">
      <w:pPr>
        <w:jc w:val="both"/>
      </w:pPr>
      <w:r>
        <w:t>American</w:t>
      </w:r>
      <w:r w:rsidR="00045EF2">
        <w:t xml:space="preserve"> University</w:t>
      </w:r>
    </w:p>
    <w:p w:rsidR="00482725" w:rsidRDefault="00194954" w:rsidP="00482725">
      <w:pPr>
        <w:tabs>
          <w:tab w:val="left" w:pos="7530"/>
        </w:tabs>
      </w:pPr>
      <w:r>
        <w:t>4400 Massachusetts Avenue, NW</w:t>
      </w:r>
    </w:p>
    <w:p w:rsidR="00482725" w:rsidRDefault="00482725" w:rsidP="00482725">
      <w:r>
        <w:t>Washington, D.C. 2</w:t>
      </w:r>
      <w:r w:rsidR="00004746">
        <w:t>00</w:t>
      </w:r>
      <w:r w:rsidR="00194954">
        <w:t>16</w:t>
      </w:r>
    </w:p>
    <w:p w:rsidR="00564065" w:rsidRDefault="00564065" w:rsidP="00564065">
      <w:pPr>
        <w:rPr>
          <w:b/>
          <w:bCs/>
        </w:rPr>
      </w:pPr>
    </w:p>
    <w:p w:rsidR="00564065" w:rsidRPr="006243B7" w:rsidRDefault="00564065" w:rsidP="00AC1D0B">
      <w:pPr>
        <w:ind w:left="720" w:right="-90" w:hanging="720"/>
      </w:pPr>
      <w:r>
        <w:rPr>
          <w:b/>
          <w:bCs/>
        </w:rPr>
        <w:t>RE:</w:t>
      </w:r>
      <w:r w:rsidRPr="00D72CC2">
        <w:rPr>
          <w:b/>
          <w:bCs/>
        </w:rPr>
        <w:tab/>
        <w:t>Permit</w:t>
      </w:r>
      <w:r w:rsidR="008827ED">
        <w:rPr>
          <w:b/>
          <w:bCs/>
        </w:rPr>
        <w:t xml:space="preserve"> </w:t>
      </w:r>
      <w:r w:rsidR="0063378A">
        <w:rPr>
          <w:b/>
          <w:bCs/>
        </w:rPr>
        <w:t>No.</w:t>
      </w:r>
      <w:r w:rsidR="00A53495">
        <w:rPr>
          <w:b/>
        </w:rPr>
        <w:t xml:space="preserve"> 7207</w:t>
      </w:r>
      <w:r w:rsidR="00004746">
        <w:rPr>
          <w:b/>
          <w:bCs/>
        </w:rPr>
        <w:t xml:space="preserve"> to </w:t>
      </w:r>
      <w:r w:rsidR="00A53495">
        <w:rPr>
          <w:b/>
          <w:bCs/>
        </w:rPr>
        <w:t xml:space="preserve">Construct and </w:t>
      </w:r>
      <w:r w:rsidRPr="00D72CC2">
        <w:rPr>
          <w:b/>
          <w:bCs/>
        </w:rPr>
        <w:t xml:space="preserve">Operate </w:t>
      </w:r>
      <w:r w:rsidR="000F5F9B">
        <w:rPr>
          <w:b/>
          <w:bCs/>
        </w:rPr>
        <w:t xml:space="preserve">a </w:t>
      </w:r>
      <w:r w:rsidR="00890DF6">
        <w:rPr>
          <w:b/>
          <w:bCs/>
        </w:rPr>
        <w:t>Natural Gas</w:t>
      </w:r>
      <w:r w:rsidR="00A53495">
        <w:rPr>
          <w:b/>
          <w:bCs/>
        </w:rPr>
        <w:t>-Fired</w:t>
      </w:r>
      <w:r w:rsidR="00890DF6">
        <w:rPr>
          <w:b/>
          <w:bCs/>
        </w:rPr>
        <w:t xml:space="preserve"> </w:t>
      </w:r>
      <w:proofErr w:type="spellStart"/>
      <w:r w:rsidR="0063378A">
        <w:rPr>
          <w:b/>
          <w:bCs/>
        </w:rPr>
        <w:t>Microturbine</w:t>
      </w:r>
      <w:proofErr w:type="spellEnd"/>
      <w:r w:rsidR="000F5F9B">
        <w:rPr>
          <w:b/>
          <w:bCs/>
        </w:rPr>
        <w:t xml:space="preserve"> System</w:t>
      </w:r>
      <w:r>
        <w:rPr>
          <w:b/>
          <w:bCs/>
        </w:rPr>
        <w:t xml:space="preserve"> </w:t>
      </w:r>
      <w:r w:rsidR="00901812">
        <w:rPr>
          <w:b/>
          <w:bCs/>
        </w:rPr>
        <w:t xml:space="preserve">at </w:t>
      </w:r>
      <w:r w:rsidR="000F5F9B">
        <w:rPr>
          <w:b/>
          <w:bCs/>
        </w:rPr>
        <w:t xml:space="preserve">the </w:t>
      </w:r>
      <w:r w:rsidR="00A53495">
        <w:rPr>
          <w:b/>
          <w:bCs/>
        </w:rPr>
        <w:t xml:space="preserve">American University Asbury </w:t>
      </w:r>
      <w:r w:rsidR="000F5F9B">
        <w:rPr>
          <w:b/>
          <w:bCs/>
        </w:rPr>
        <w:t>Hall</w:t>
      </w:r>
      <w:r w:rsidR="00A53495">
        <w:rPr>
          <w:b/>
          <w:bCs/>
        </w:rPr>
        <w:t xml:space="preserve"> Central Plant</w:t>
      </w:r>
      <w:r w:rsidR="000F5F9B">
        <w:rPr>
          <w:b/>
          <w:bCs/>
        </w:rPr>
        <w:t>,</w:t>
      </w:r>
      <w:r w:rsidR="00A53495">
        <w:rPr>
          <w:b/>
          <w:bCs/>
        </w:rPr>
        <w:t xml:space="preserve"> 4400 Massachusetts Avenue NW</w:t>
      </w:r>
      <w:r w:rsidR="00A36A6B">
        <w:rPr>
          <w:b/>
          <w:bCs/>
        </w:rPr>
        <w:t>,</w:t>
      </w:r>
      <w:r w:rsidR="00AC1D0B">
        <w:rPr>
          <w:b/>
          <w:bCs/>
        </w:rPr>
        <w:t xml:space="preserve"> Washington DC </w:t>
      </w:r>
    </w:p>
    <w:p w:rsidR="00564065" w:rsidRPr="006243B7" w:rsidRDefault="00564065" w:rsidP="00564065"/>
    <w:p w:rsidR="00564065" w:rsidRPr="006243B7" w:rsidRDefault="00564065" w:rsidP="00564065">
      <w:r w:rsidRPr="006243B7">
        <w:t xml:space="preserve">Dear </w:t>
      </w:r>
      <w:r>
        <w:t>M</w:t>
      </w:r>
      <w:r w:rsidR="00194954">
        <w:t>r</w:t>
      </w:r>
      <w:r>
        <w:t xml:space="preserve">. </w:t>
      </w:r>
      <w:r w:rsidR="00194954">
        <w:t>Osborne</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 and operate a</w:t>
      </w:r>
      <w:r w:rsidRPr="006243B7">
        <w:t xml:space="preserve"> stationary source in the District of Columbia. </w:t>
      </w:r>
      <w:r w:rsidR="00833E6C">
        <w:t>The application of American University (“the Permittee”)</w:t>
      </w:r>
      <w:r w:rsidR="00E4639F">
        <w:t xml:space="preserve"> </w:t>
      </w:r>
      <w:r w:rsidR="00833E6C">
        <w:t xml:space="preserve">to </w:t>
      </w:r>
      <w:r w:rsidR="00E4639F">
        <w:t xml:space="preserve">construct </w:t>
      </w:r>
      <w:r w:rsidR="00833E6C">
        <w:t xml:space="preserve">and operate </w:t>
      </w:r>
      <w:r w:rsidR="00E4639F">
        <w:t xml:space="preserve">modular Capstone Signature </w:t>
      </w:r>
      <w:proofErr w:type="spellStart"/>
      <w:r w:rsidR="00E4639F">
        <w:t>microturbine</w:t>
      </w:r>
      <w:proofErr w:type="spellEnd"/>
      <w:r w:rsidR="000F5F9B">
        <w:t xml:space="preserve"> system shown below</w:t>
      </w:r>
      <w:r w:rsidR="00E4639F">
        <w:t>,</w:t>
      </w:r>
      <w:r w:rsidR="008C623E">
        <w:t xml:space="preserve"> </w:t>
      </w:r>
      <w:r>
        <w:t xml:space="preserve">located </w:t>
      </w:r>
      <w:r w:rsidR="008C623E">
        <w:t>in Washington, DC</w:t>
      </w:r>
      <w:r>
        <w:t xml:space="preserve"> </w:t>
      </w:r>
      <w:r w:rsidR="00F82084">
        <w:t>has</w:t>
      </w:r>
      <w:r>
        <w:t xml:space="preserve"> been reviewed:</w:t>
      </w:r>
      <w:r w:rsidRPr="00163F55">
        <w:t xml:space="preserve"> </w:t>
      </w:r>
    </w:p>
    <w:p w:rsidR="0071289B" w:rsidRDefault="0071289B" w:rsidP="00564065">
      <w:pPr>
        <w:tabs>
          <w:tab w:val="center" w:pos="4680"/>
        </w:tabs>
      </w:pPr>
    </w:p>
    <w:tbl>
      <w:tblPr>
        <w:tblStyle w:val="TableGrid"/>
        <w:tblW w:w="9540" w:type="dxa"/>
        <w:tblInd w:w="-72" w:type="dxa"/>
        <w:tblLayout w:type="fixed"/>
        <w:tblLook w:val="04A0" w:firstRow="1" w:lastRow="0" w:firstColumn="1" w:lastColumn="0" w:noHBand="0" w:noVBand="1"/>
      </w:tblPr>
      <w:tblGrid>
        <w:gridCol w:w="3150"/>
        <w:gridCol w:w="1350"/>
        <w:gridCol w:w="1080"/>
        <w:gridCol w:w="2160"/>
        <w:gridCol w:w="1800"/>
      </w:tblGrid>
      <w:tr w:rsidR="00194954" w:rsidTr="006E2143">
        <w:trPr>
          <w:tblHeader/>
        </w:trPr>
        <w:tc>
          <w:tcPr>
            <w:tcW w:w="3150" w:type="dxa"/>
            <w:vAlign w:val="bottom"/>
          </w:tcPr>
          <w:p w:rsidR="00194954" w:rsidRPr="0071289B" w:rsidRDefault="00194954" w:rsidP="006E2143">
            <w:pPr>
              <w:tabs>
                <w:tab w:val="center" w:pos="4680"/>
              </w:tabs>
              <w:ind w:left="-18" w:firstLine="18"/>
              <w:jc w:val="center"/>
              <w:rPr>
                <w:b/>
              </w:rPr>
            </w:pPr>
            <w:r>
              <w:rPr>
                <w:b/>
              </w:rPr>
              <w:t>Equipment</w:t>
            </w:r>
            <w:r w:rsidR="006E2143">
              <w:rPr>
                <w:b/>
              </w:rPr>
              <w:t xml:space="preserve"> </w:t>
            </w:r>
            <w:r>
              <w:rPr>
                <w:b/>
              </w:rPr>
              <w:t>Location</w:t>
            </w:r>
          </w:p>
        </w:tc>
        <w:tc>
          <w:tcPr>
            <w:tcW w:w="1350" w:type="dxa"/>
            <w:vAlign w:val="bottom"/>
          </w:tcPr>
          <w:p w:rsidR="00194954" w:rsidRPr="0071289B" w:rsidRDefault="00194954" w:rsidP="006E2143">
            <w:pPr>
              <w:tabs>
                <w:tab w:val="center" w:pos="4680"/>
              </w:tabs>
              <w:jc w:val="center"/>
              <w:rPr>
                <w:b/>
              </w:rPr>
            </w:pPr>
            <w:r>
              <w:rPr>
                <w:b/>
              </w:rPr>
              <w:t>Emission Unit ID</w:t>
            </w:r>
          </w:p>
        </w:tc>
        <w:tc>
          <w:tcPr>
            <w:tcW w:w="1080" w:type="dxa"/>
            <w:vAlign w:val="bottom"/>
          </w:tcPr>
          <w:p w:rsidR="00194954" w:rsidRPr="0071289B" w:rsidRDefault="00194954" w:rsidP="006E2143">
            <w:pPr>
              <w:tabs>
                <w:tab w:val="center" w:pos="4680"/>
              </w:tabs>
              <w:jc w:val="center"/>
              <w:rPr>
                <w:b/>
              </w:rPr>
            </w:pPr>
            <w:r>
              <w:rPr>
                <w:b/>
              </w:rPr>
              <w:t>Model Number</w:t>
            </w:r>
          </w:p>
        </w:tc>
        <w:tc>
          <w:tcPr>
            <w:tcW w:w="2160" w:type="dxa"/>
            <w:vAlign w:val="bottom"/>
          </w:tcPr>
          <w:p w:rsidR="00194954" w:rsidRPr="0071289B" w:rsidRDefault="00362295" w:rsidP="006E2143">
            <w:pPr>
              <w:tabs>
                <w:tab w:val="center" w:pos="4680"/>
              </w:tabs>
              <w:jc w:val="center"/>
              <w:rPr>
                <w:b/>
              </w:rPr>
            </w:pPr>
            <w:r>
              <w:rPr>
                <w:b/>
              </w:rPr>
              <w:t>Heat Input</w:t>
            </w:r>
            <w:r w:rsidR="00194954">
              <w:rPr>
                <w:b/>
              </w:rPr>
              <w:t xml:space="preserve"> Rating </w:t>
            </w:r>
            <w:r w:rsidR="00194954" w:rsidRPr="0071289B">
              <w:rPr>
                <w:b/>
              </w:rPr>
              <w:t>(MMBTU/</w:t>
            </w:r>
            <w:proofErr w:type="spellStart"/>
            <w:r w:rsidR="00194954" w:rsidRPr="0071289B">
              <w:rPr>
                <w:b/>
              </w:rPr>
              <w:t>hr</w:t>
            </w:r>
            <w:proofErr w:type="spellEnd"/>
            <w:r w:rsidR="00194954" w:rsidRPr="0071289B">
              <w:rPr>
                <w:b/>
              </w:rPr>
              <w:t>)</w:t>
            </w:r>
          </w:p>
        </w:tc>
        <w:tc>
          <w:tcPr>
            <w:tcW w:w="1800" w:type="dxa"/>
            <w:vAlign w:val="bottom"/>
          </w:tcPr>
          <w:p w:rsidR="00194954" w:rsidRPr="0071289B" w:rsidRDefault="00194954" w:rsidP="006E2143">
            <w:pPr>
              <w:tabs>
                <w:tab w:val="center" w:pos="4680"/>
              </w:tabs>
              <w:jc w:val="center"/>
              <w:rPr>
                <w:b/>
              </w:rPr>
            </w:pPr>
            <w:r w:rsidRPr="0071289B">
              <w:rPr>
                <w:b/>
              </w:rPr>
              <w:t>Permit Number</w:t>
            </w:r>
          </w:p>
        </w:tc>
      </w:tr>
      <w:tr w:rsidR="00194954" w:rsidTr="006E2143">
        <w:tc>
          <w:tcPr>
            <w:tcW w:w="3150" w:type="dxa"/>
          </w:tcPr>
          <w:p w:rsidR="00194954" w:rsidRDefault="002C670D" w:rsidP="00C2412E">
            <w:pPr>
              <w:tabs>
                <w:tab w:val="center" w:pos="4680"/>
              </w:tabs>
            </w:pPr>
            <w:r>
              <w:t xml:space="preserve">Asbury </w:t>
            </w:r>
            <w:r w:rsidR="006E2143">
              <w:t>Hall Central Plant</w:t>
            </w:r>
          </w:p>
          <w:p w:rsidR="00194954" w:rsidRDefault="001E0E03" w:rsidP="00C2412E">
            <w:pPr>
              <w:tabs>
                <w:tab w:val="center" w:pos="4680"/>
              </w:tabs>
            </w:pPr>
            <w:r>
              <w:t>4400</w:t>
            </w:r>
            <w:r w:rsidR="00194954">
              <w:t xml:space="preserve"> </w:t>
            </w:r>
            <w:r>
              <w:t>Mass</w:t>
            </w:r>
            <w:r w:rsidR="00362295">
              <w:t>achusetts</w:t>
            </w:r>
            <w:r>
              <w:t xml:space="preserve"> Ave </w:t>
            </w:r>
            <w:r w:rsidR="00362295">
              <w:t>N</w:t>
            </w:r>
            <w:r>
              <w:t>W</w:t>
            </w:r>
          </w:p>
          <w:p w:rsidR="00194954" w:rsidRPr="00A32201" w:rsidRDefault="00194954" w:rsidP="00362295">
            <w:pPr>
              <w:tabs>
                <w:tab w:val="center" w:pos="4680"/>
              </w:tabs>
            </w:pPr>
            <w:r>
              <w:t>Washington DC</w:t>
            </w:r>
            <w:r w:rsidR="001E0E03">
              <w:t xml:space="preserve"> </w:t>
            </w:r>
          </w:p>
        </w:tc>
        <w:tc>
          <w:tcPr>
            <w:tcW w:w="1350" w:type="dxa"/>
            <w:vAlign w:val="center"/>
          </w:tcPr>
          <w:p w:rsidR="00194954" w:rsidRDefault="00C44A7A" w:rsidP="006E2143">
            <w:pPr>
              <w:tabs>
                <w:tab w:val="center" w:pos="4680"/>
              </w:tabs>
              <w:jc w:val="center"/>
            </w:pPr>
            <w:r>
              <w:t>CHP-1</w:t>
            </w:r>
          </w:p>
        </w:tc>
        <w:tc>
          <w:tcPr>
            <w:tcW w:w="1080" w:type="dxa"/>
            <w:vAlign w:val="center"/>
          </w:tcPr>
          <w:p w:rsidR="00194954" w:rsidRDefault="00CA2125" w:rsidP="006E2143">
            <w:pPr>
              <w:tabs>
                <w:tab w:val="center" w:pos="4680"/>
              </w:tabs>
              <w:jc w:val="center"/>
            </w:pPr>
            <w:r>
              <w:t>C1000S</w:t>
            </w:r>
          </w:p>
        </w:tc>
        <w:tc>
          <w:tcPr>
            <w:tcW w:w="2160" w:type="dxa"/>
            <w:vAlign w:val="center"/>
          </w:tcPr>
          <w:p w:rsidR="00194954" w:rsidRDefault="00CA2125" w:rsidP="006E2143">
            <w:pPr>
              <w:tabs>
                <w:tab w:val="center" w:pos="4680"/>
              </w:tabs>
              <w:jc w:val="center"/>
            </w:pPr>
            <w:r>
              <w:t>11.5</w:t>
            </w:r>
          </w:p>
        </w:tc>
        <w:tc>
          <w:tcPr>
            <w:tcW w:w="1800" w:type="dxa"/>
            <w:vAlign w:val="center"/>
          </w:tcPr>
          <w:p w:rsidR="00194954" w:rsidRDefault="00194954" w:rsidP="006E2143">
            <w:pPr>
              <w:tabs>
                <w:tab w:val="center" w:pos="4680"/>
              </w:tabs>
              <w:jc w:val="center"/>
            </w:pPr>
            <w:r>
              <w:t>7</w:t>
            </w:r>
            <w:r w:rsidR="00CA2125">
              <w:t>207</w:t>
            </w:r>
          </w:p>
        </w:tc>
      </w:tr>
    </w:tbl>
    <w:p w:rsidR="00883E7D" w:rsidRDefault="00883E7D" w:rsidP="00564065">
      <w:pPr>
        <w:jc w:val="both"/>
      </w:pPr>
    </w:p>
    <w:p w:rsidR="00564065" w:rsidRPr="0015560D" w:rsidRDefault="00564065" w:rsidP="00564065">
      <w:pPr>
        <w:jc w:val="both"/>
      </w:pPr>
      <w:r w:rsidRPr="0015560D">
        <w:t xml:space="preserve">Based on the plans and specifications as detailed in </w:t>
      </w:r>
      <w:r>
        <w:t>the</w:t>
      </w:r>
      <w:r w:rsidRPr="0015560D">
        <w:t xml:space="preserve"> </w:t>
      </w:r>
      <w:r>
        <w:t xml:space="preserve">air permit application received on </w:t>
      </w:r>
      <w:r w:rsidR="00C755AB">
        <w:t>Ma</w:t>
      </w:r>
      <w:r w:rsidR="00B8576C">
        <w:t>rch 6</w:t>
      </w:r>
      <w:r>
        <w:t>, 201</w:t>
      </w:r>
      <w:r w:rsidR="00B8576C">
        <w:t>8</w:t>
      </w:r>
      <w:r>
        <w:t xml:space="preserve">, the application </w:t>
      </w:r>
      <w:r w:rsidR="000F1922">
        <w:t>is</w:t>
      </w:r>
      <w:r>
        <w:t xml:space="preserve"> hereby approved, </w:t>
      </w:r>
      <w:r w:rsidR="00DC389C">
        <w:t xml:space="preserve">and the construction and operation of the </w:t>
      </w:r>
      <w:r w:rsidR="00E4639F">
        <w:t xml:space="preserve">modular </w:t>
      </w:r>
      <w:proofErr w:type="spellStart"/>
      <w:r w:rsidR="00E4639F">
        <w:t>microturbine</w:t>
      </w:r>
      <w:proofErr w:type="spellEnd"/>
      <w:r>
        <w:t xml:space="preserve"> </w:t>
      </w:r>
      <w:r w:rsidR="000F5F9B">
        <w:t xml:space="preserve">system </w:t>
      </w:r>
      <w:r w:rsidR="00E4639F">
        <w:t>is</w:t>
      </w:r>
      <w:r w:rsidR="00DC389C">
        <w:t xml:space="preserve"> permitted,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for the construction and operation of</w:t>
      </w:r>
      <w:r w:rsidR="00564065">
        <w:t xml:space="preserve"> </w:t>
      </w:r>
      <w:r w:rsidR="00B37086">
        <w:t xml:space="preserve">the </w:t>
      </w:r>
      <w:proofErr w:type="spellStart"/>
      <w:r w:rsidR="00B37086">
        <w:t>microturbine</w:t>
      </w:r>
      <w:proofErr w:type="spellEnd"/>
      <w:r w:rsidR="00564065" w:rsidRPr="006A4B1F">
        <w:t>.</w:t>
      </w:r>
    </w:p>
    <w:p w:rsidR="00564065" w:rsidRPr="006243B7" w:rsidRDefault="00564065" w:rsidP="00564065">
      <w:pPr>
        <w:ind w:left="720" w:hanging="360"/>
      </w:pPr>
    </w:p>
    <w:p w:rsidR="00564065" w:rsidRDefault="00564065" w:rsidP="00564065">
      <w:pPr>
        <w:ind w:left="720" w:hanging="360"/>
      </w:pPr>
      <w:r w:rsidRPr="006243B7">
        <w:t>b.</w:t>
      </w:r>
      <w:r w:rsidRPr="006243B7">
        <w:tab/>
        <w:t>This</w:t>
      </w:r>
      <w:r>
        <w:t xml:space="preserve"> permit will expire</w:t>
      </w:r>
      <w:r w:rsidRPr="006243B7">
        <w:t xml:space="preserve"> on </w:t>
      </w:r>
      <w:r w:rsidR="000F5F9B">
        <w:t>S</w:t>
      </w:r>
      <w:r w:rsidR="00C134D0">
        <w:t>eptember 10</w:t>
      </w:r>
      <w:r>
        <w:t>, 202</w:t>
      </w:r>
      <w:r w:rsidR="00F82084">
        <w:t>3</w:t>
      </w:r>
      <w:r w:rsidRPr="006243B7">
        <w:t xml:space="preserve">.  If continued operation after this date is desired, the </w:t>
      </w:r>
      <w:r w:rsidR="0071289B">
        <w:t>Permittee</w:t>
      </w:r>
      <w:r w:rsidR="00136B8D">
        <w:t xml:space="preserve"> shall submit </w:t>
      </w:r>
      <w:r>
        <w:t>a</w:t>
      </w:r>
      <w:r w:rsidRPr="006243B7">
        <w:t>pplication</w:t>
      </w:r>
      <w:r w:rsidR="00136B8D">
        <w:t>s</w:t>
      </w:r>
      <w:r w:rsidRPr="006243B7">
        <w:t xml:space="preserve"> for renewal by</w:t>
      </w:r>
      <w:r>
        <w:t xml:space="preserve"> </w:t>
      </w:r>
      <w:r w:rsidR="000F5F9B">
        <w:t>J</w:t>
      </w:r>
      <w:r w:rsidR="00C134D0">
        <w:t>une 10</w:t>
      </w:r>
      <w:r w:rsidR="00136B8D">
        <w:t>, 202</w:t>
      </w:r>
      <w:r w:rsidR="00002D55">
        <w:t>3</w:t>
      </w:r>
      <w:r>
        <w:t xml:space="preserve">. </w:t>
      </w:r>
      <w:r w:rsidRPr="006A4B1F">
        <w:t>[20 DCMR 200.4]</w:t>
      </w:r>
    </w:p>
    <w:p w:rsidR="00564065" w:rsidRDefault="00564065" w:rsidP="00564065">
      <w:pPr>
        <w:ind w:left="720" w:hanging="360"/>
      </w:pPr>
    </w:p>
    <w:p w:rsidR="00564065" w:rsidRDefault="00564065" w:rsidP="00B37086">
      <w:pPr>
        <w:pStyle w:val="ListParagraph"/>
        <w:numPr>
          <w:ilvl w:val="0"/>
          <w:numId w:val="1"/>
        </w:numPr>
      </w:pPr>
      <w:r>
        <w:t>Construction or operation of equipm</w:t>
      </w:r>
      <w:r w:rsidR="00002D55">
        <w:t>ent under the authority of this</w:t>
      </w:r>
      <w:r w:rsidR="007B18E8">
        <w:t xml:space="preserve"> </w:t>
      </w:r>
      <w:r>
        <w:t>permit shall be considered acceptance of its terms and conditions</w:t>
      </w:r>
      <w:r w:rsidRPr="006243B7">
        <w:t>.</w:t>
      </w:r>
    </w:p>
    <w:p w:rsidR="00B37086" w:rsidRDefault="00B37086" w:rsidP="00B37086">
      <w:pPr>
        <w:pStyle w:val="ListParagraph"/>
      </w:pPr>
    </w:p>
    <w:p w:rsidR="00564065" w:rsidRDefault="00564065" w:rsidP="00564065">
      <w:pPr>
        <w:numPr>
          <w:ilvl w:val="0"/>
          <w:numId w:val="1"/>
        </w:numPr>
      </w:pPr>
      <w:r>
        <w:t xml:space="preserve">The Permittee shall allow authorized officials of the District, upon presentation of </w:t>
      </w:r>
      <w:r>
        <w:lastRenderedPageBreak/>
        <w:t>identification, to:</w:t>
      </w:r>
    </w:p>
    <w:p w:rsidR="00564065" w:rsidRDefault="00564065" w:rsidP="00564065">
      <w:pPr>
        <w:ind w:left="720"/>
      </w:pPr>
    </w:p>
    <w:p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This permit 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w:t>
      </w:r>
      <w:r w:rsidR="000A4B16">
        <w:t>ply with the provisions of th</w:t>
      </w:r>
      <w:r w:rsidR="00B37086">
        <w:t>is</w:t>
      </w:r>
      <w:r w:rsidR="000A4B16">
        <w:t xml:space="preserve"> </w:t>
      </w:r>
      <w:r w:rsidRPr="00F341B1">
        <w:t>permit may be grounds for suspension or revocation. [20 DCMR 202.2]</w:t>
      </w:r>
    </w:p>
    <w:p w:rsidR="009909FA" w:rsidRDefault="009909FA" w:rsidP="009909FA">
      <w:pPr>
        <w:pStyle w:val="ListParagraph"/>
      </w:pPr>
    </w:p>
    <w:p w:rsidR="009909FA" w:rsidRDefault="009909FA" w:rsidP="00564065">
      <w:pPr>
        <w:numPr>
          <w:ilvl w:val="0"/>
          <w:numId w:val="1"/>
        </w:numPr>
      </w:pPr>
      <w:r>
        <w:t>If not already completed by the date of</w:t>
      </w:r>
      <w:r w:rsidR="000F1922">
        <w:t xml:space="preserve"> issuance of this permit</w:t>
      </w:r>
      <w:r>
        <w:t xml:space="preserve">, within twelve (12) months of issuance of this </w:t>
      </w:r>
      <w:r w:rsidR="000F1922">
        <w:t>permit</w:t>
      </w:r>
      <w:r>
        <w:t xml:space="preserve"> to </w:t>
      </w:r>
      <w:r w:rsidR="000F1922">
        <w:t xml:space="preserve">construct and </w:t>
      </w:r>
      <w:r>
        <w:t>operate, the Permittee shall submit a complete application to modify the facility’s Title V operating permit to include</w:t>
      </w:r>
      <w:r w:rsidR="00B37086">
        <w:t xml:space="preserve"> the requirements of this permit</w:t>
      </w:r>
      <w:r>
        <w:t xml:space="preserve"> [20 DCMR 301.1(a)(3)].  This application is due by </w:t>
      </w:r>
      <w:r w:rsidR="000F5F9B">
        <w:t>S</w:t>
      </w:r>
      <w:r w:rsidR="00C134D0">
        <w:t>eptember 10</w:t>
      </w:r>
      <w:r w:rsidR="00F81C85">
        <w:t>, 201</w:t>
      </w:r>
      <w:r w:rsidR="00B37086">
        <w:t>9</w:t>
      </w:r>
      <w:r>
        <w:t>.</w:t>
      </w:r>
    </w:p>
    <w:p w:rsidR="00564065" w:rsidRDefault="00564065" w:rsidP="00564065"/>
    <w:p w:rsidR="00564065" w:rsidRPr="006243B7" w:rsidRDefault="00564065" w:rsidP="00564065">
      <w:pPr>
        <w:ind w:left="360" w:hanging="360"/>
        <w:rPr>
          <w:u w:val="single"/>
        </w:rPr>
      </w:pPr>
      <w:r w:rsidRPr="006243B7">
        <w:t>II.</w:t>
      </w:r>
      <w:r w:rsidRPr="006243B7">
        <w:tab/>
      </w:r>
      <w:r w:rsidRPr="006243B7">
        <w:rPr>
          <w:u w:val="single"/>
        </w:rPr>
        <w:t>Emission Limitations:</w:t>
      </w:r>
    </w:p>
    <w:p w:rsidR="00564065" w:rsidRDefault="00564065" w:rsidP="00564065">
      <w:pPr>
        <w:ind w:left="360" w:hanging="360"/>
      </w:pPr>
    </w:p>
    <w:p w:rsidR="00B37086" w:rsidRDefault="00D26B62" w:rsidP="00B37086">
      <w:pPr>
        <w:ind w:left="720" w:hanging="360"/>
      </w:pPr>
      <w:r>
        <w:t>a.</w:t>
      </w:r>
      <w:r>
        <w:tab/>
        <w:t xml:space="preserve">The </w:t>
      </w:r>
      <w:proofErr w:type="spellStart"/>
      <w:r>
        <w:t>m</w:t>
      </w:r>
      <w:r w:rsidR="00B37086">
        <w:t>icroturbine</w:t>
      </w:r>
      <w:proofErr w:type="spellEnd"/>
      <w:r w:rsidR="00B37086">
        <w:t xml:space="preserve"> </w:t>
      </w:r>
      <w:r w:rsidR="000F5F9B">
        <w:t xml:space="preserve">system </w:t>
      </w:r>
      <w:r w:rsidR="00B37086">
        <w:t xml:space="preserve">shall not emit pollutants in excess of the following [20 DCMR 201]: </w:t>
      </w:r>
    </w:p>
    <w:p w:rsidR="00B37086" w:rsidRDefault="00B37086" w:rsidP="00B37086">
      <w:pPr>
        <w:ind w:left="720"/>
      </w:pPr>
    </w:p>
    <w:tbl>
      <w:tblPr>
        <w:tblW w:w="7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420"/>
      </w:tblGrid>
      <w:tr w:rsidR="00B37086" w:rsidTr="0038380D">
        <w:tc>
          <w:tcPr>
            <w:tcW w:w="7200" w:type="dxa"/>
            <w:gridSpan w:val="2"/>
          </w:tcPr>
          <w:p w:rsidR="00B37086" w:rsidRDefault="00B37086" w:rsidP="0038380D">
            <w:pPr>
              <w:tabs>
                <w:tab w:val="left" w:pos="-1440"/>
                <w:tab w:val="left" w:pos="1080"/>
              </w:tabs>
              <w:jc w:val="center"/>
              <w:rPr>
                <w:b/>
              </w:rPr>
            </w:pPr>
            <w:proofErr w:type="spellStart"/>
            <w:r>
              <w:rPr>
                <w:b/>
              </w:rPr>
              <w:t>MicroTurbine</w:t>
            </w:r>
            <w:proofErr w:type="spellEnd"/>
            <w:r>
              <w:rPr>
                <w:b/>
              </w:rPr>
              <w:t xml:space="preserve"> Emission Limits (</w:t>
            </w:r>
            <w:proofErr w:type="spellStart"/>
            <w:r>
              <w:rPr>
                <w:b/>
              </w:rPr>
              <w:t>lb</w:t>
            </w:r>
            <w:proofErr w:type="spellEnd"/>
            <w:r>
              <w:rPr>
                <w:b/>
              </w:rPr>
              <w:t>/</w:t>
            </w:r>
            <w:proofErr w:type="spellStart"/>
            <w:r>
              <w:rPr>
                <w:b/>
              </w:rPr>
              <w:t>hr</w:t>
            </w:r>
            <w:proofErr w:type="spellEnd"/>
            <w:r>
              <w:rPr>
                <w:b/>
              </w:rPr>
              <w:t>)</w:t>
            </w:r>
          </w:p>
        </w:tc>
      </w:tr>
      <w:tr w:rsidR="00B37086" w:rsidRPr="00807627" w:rsidTr="0038380D">
        <w:tc>
          <w:tcPr>
            <w:tcW w:w="3780" w:type="dxa"/>
          </w:tcPr>
          <w:p w:rsidR="00B37086" w:rsidRPr="00807627" w:rsidRDefault="00B37086" w:rsidP="0038380D">
            <w:pPr>
              <w:tabs>
                <w:tab w:val="left" w:pos="-1440"/>
                <w:tab w:val="left" w:pos="1080"/>
              </w:tabs>
              <w:jc w:val="center"/>
              <w:rPr>
                <w:b/>
              </w:rPr>
            </w:pPr>
            <w:r w:rsidRPr="00807627">
              <w:rPr>
                <w:b/>
              </w:rPr>
              <w:t>Pollutant</w:t>
            </w:r>
          </w:p>
        </w:tc>
        <w:tc>
          <w:tcPr>
            <w:tcW w:w="3420" w:type="dxa"/>
          </w:tcPr>
          <w:p w:rsidR="00B37086" w:rsidRPr="00807627" w:rsidRDefault="000F1922" w:rsidP="0038380D">
            <w:pPr>
              <w:tabs>
                <w:tab w:val="left" w:pos="-1440"/>
                <w:tab w:val="left" w:pos="1080"/>
              </w:tabs>
              <w:jc w:val="center"/>
              <w:rPr>
                <w:b/>
              </w:rPr>
            </w:pPr>
            <w:r>
              <w:rPr>
                <w:b/>
              </w:rPr>
              <w:t>C1000S</w:t>
            </w:r>
          </w:p>
        </w:tc>
      </w:tr>
      <w:tr w:rsidR="00B37086" w:rsidRPr="00807627" w:rsidTr="0038380D">
        <w:tc>
          <w:tcPr>
            <w:tcW w:w="3780" w:type="dxa"/>
          </w:tcPr>
          <w:p w:rsidR="00B37086" w:rsidRPr="00807627" w:rsidRDefault="00B37086" w:rsidP="0038380D">
            <w:pPr>
              <w:tabs>
                <w:tab w:val="left" w:pos="-1440"/>
                <w:tab w:val="left" w:pos="1080"/>
              </w:tabs>
            </w:pPr>
            <w:r w:rsidRPr="00807627">
              <w:t>Carbon Monoxide (CO)</w:t>
            </w:r>
          </w:p>
        </w:tc>
        <w:tc>
          <w:tcPr>
            <w:tcW w:w="3420" w:type="dxa"/>
          </w:tcPr>
          <w:p w:rsidR="00B37086" w:rsidRPr="00B33887" w:rsidRDefault="001E3CDF" w:rsidP="000F1922">
            <w:pPr>
              <w:tabs>
                <w:tab w:val="left" w:pos="-1440"/>
                <w:tab w:val="left" w:pos="1080"/>
              </w:tabs>
              <w:jc w:val="center"/>
            </w:pPr>
            <w:r>
              <w:t>1.</w:t>
            </w:r>
            <w:r w:rsidR="000F1922">
              <w:t>10</w:t>
            </w:r>
          </w:p>
        </w:tc>
      </w:tr>
      <w:tr w:rsidR="00B37086" w:rsidRPr="00807627" w:rsidTr="0038380D">
        <w:tc>
          <w:tcPr>
            <w:tcW w:w="3780" w:type="dxa"/>
          </w:tcPr>
          <w:p w:rsidR="00B37086" w:rsidRPr="00807627" w:rsidRDefault="00B37086" w:rsidP="0038380D">
            <w:pPr>
              <w:tabs>
                <w:tab w:val="left" w:pos="-1440"/>
                <w:tab w:val="left" w:pos="1080"/>
              </w:tabs>
            </w:pPr>
            <w:r w:rsidRPr="00807627">
              <w:t>Oxides of Nitrogen (NO</w:t>
            </w:r>
            <w:r w:rsidRPr="00807627">
              <w:rPr>
                <w:vertAlign w:val="subscript"/>
              </w:rPr>
              <w:t>x</w:t>
            </w:r>
            <w:r w:rsidRPr="00807627">
              <w:t>)</w:t>
            </w:r>
          </w:p>
        </w:tc>
        <w:tc>
          <w:tcPr>
            <w:tcW w:w="3420" w:type="dxa"/>
          </w:tcPr>
          <w:p w:rsidR="00B37086" w:rsidRPr="00B33887" w:rsidRDefault="00B37086" w:rsidP="001E3CDF">
            <w:pPr>
              <w:tabs>
                <w:tab w:val="left" w:pos="-1440"/>
                <w:tab w:val="left" w:pos="1080"/>
              </w:tabs>
              <w:jc w:val="center"/>
            </w:pPr>
            <w:r>
              <w:t>0.</w:t>
            </w:r>
            <w:r w:rsidR="001E3CDF">
              <w:t>40</w:t>
            </w:r>
          </w:p>
        </w:tc>
      </w:tr>
      <w:tr w:rsidR="00B37086" w:rsidRPr="00807627" w:rsidTr="0038380D">
        <w:tc>
          <w:tcPr>
            <w:tcW w:w="3780" w:type="dxa"/>
          </w:tcPr>
          <w:p w:rsidR="00B37086" w:rsidRPr="00807627" w:rsidRDefault="00B37086" w:rsidP="0038380D">
            <w:pPr>
              <w:tabs>
                <w:tab w:val="left" w:pos="-1440"/>
                <w:tab w:val="left" w:pos="1080"/>
              </w:tabs>
            </w:pPr>
            <w:r>
              <w:t xml:space="preserve">Total </w:t>
            </w:r>
            <w:r w:rsidRPr="00807627">
              <w:t>Particulate Matter (PM</w:t>
            </w:r>
            <w:r>
              <w:t xml:space="preserve"> Total</w:t>
            </w:r>
            <w:r w:rsidRPr="00807627">
              <w:t>)</w:t>
            </w:r>
            <w:r>
              <w:t>*</w:t>
            </w:r>
          </w:p>
        </w:tc>
        <w:tc>
          <w:tcPr>
            <w:tcW w:w="3420" w:type="dxa"/>
          </w:tcPr>
          <w:p w:rsidR="00B37086" w:rsidRPr="00B33887" w:rsidRDefault="001E3CDF" w:rsidP="0038380D">
            <w:pPr>
              <w:tabs>
                <w:tab w:val="left" w:pos="-1440"/>
                <w:tab w:val="left" w:pos="1080"/>
              </w:tabs>
              <w:jc w:val="center"/>
            </w:pPr>
            <w:r>
              <w:t>0.08</w:t>
            </w:r>
          </w:p>
        </w:tc>
      </w:tr>
      <w:tr w:rsidR="00EE2CD4" w:rsidRPr="00807627" w:rsidTr="0038380D">
        <w:tc>
          <w:tcPr>
            <w:tcW w:w="3780" w:type="dxa"/>
          </w:tcPr>
          <w:p w:rsidR="00EE2CD4" w:rsidRPr="00807627" w:rsidRDefault="00EE2CD4" w:rsidP="0068323D">
            <w:pPr>
              <w:tabs>
                <w:tab w:val="left" w:pos="-1440"/>
                <w:tab w:val="left" w:pos="1080"/>
              </w:tabs>
            </w:pPr>
            <w:r>
              <w:t>Volatile Organic Compounds (VOC)</w:t>
            </w:r>
          </w:p>
        </w:tc>
        <w:tc>
          <w:tcPr>
            <w:tcW w:w="3420" w:type="dxa"/>
          </w:tcPr>
          <w:p w:rsidR="00EE2CD4" w:rsidRDefault="00EE2CD4" w:rsidP="0068323D">
            <w:pPr>
              <w:tabs>
                <w:tab w:val="left" w:pos="-1440"/>
                <w:tab w:val="left" w:pos="1080"/>
              </w:tabs>
              <w:jc w:val="center"/>
            </w:pPr>
            <w:r>
              <w:t>0.10</w:t>
            </w:r>
          </w:p>
        </w:tc>
      </w:tr>
    </w:tbl>
    <w:p w:rsidR="00B37086" w:rsidRDefault="00B37086" w:rsidP="00B37086">
      <w:pPr>
        <w:ind w:left="720"/>
      </w:pPr>
      <w:r w:rsidRPr="00F940A6">
        <w:t>*PM Total includes both filterable and condensable fractions.</w:t>
      </w:r>
      <w:r>
        <w:t xml:space="preserve">  </w:t>
      </w:r>
    </w:p>
    <w:p w:rsidR="00564065" w:rsidRPr="0071289B" w:rsidRDefault="00564065" w:rsidP="00564065">
      <w:pPr>
        <w:ind w:left="720"/>
      </w:pPr>
    </w:p>
    <w:p w:rsidR="001E3CDF" w:rsidRDefault="001E3CDF" w:rsidP="001E3CDF">
      <w:pPr>
        <w:ind w:left="720" w:hanging="360"/>
      </w:pPr>
      <w:r>
        <w:t>b.</w:t>
      </w:r>
      <w:r>
        <w:tab/>
        <w:t>Visible emissions shall not be emitted into the ou</w:t>
      </w:r>
      <w:r w:rsidR="00BD4F79">
        <w:t xml:space="preserve">tdoor atmosphere from the </w:t>
      </w:r>
      <w:proofErr w:type="spellStart"/>
      <w:r w:rsidR="00BD4F79">
        <w:t>microturbine</w:t>
      </w:r>
      <w:proofErr w:type="spellEnd"/>
      <w:r>
        <w:t xml:space="preserve">, except that discharges not exceeding forty percent (40 %) opacity (averaged) shall be permitted for two (2) minutes in any sixty (60) minute period and for an aggregate of twelve (12) minutes in any twenty-four hour (24 hr.) period during start-up, cleaning, </w:t>
      </w:r>
      <w:r>
        <w:lastRenderedPageBreak/>
        <w:t xml:space="preserve">adjustment of combustion controls, if any, or </w:t>
      </w:r>
      <w:r w:rsidR="000A1048">
        <w:t xml:space="preserve">malfunction of the </w:t>
      </w:r>
      <w:proofErr w:type="spellStart"/>
      <w:r w:rsidR="000A1048">
        <w:t>microtur</w:t>
      </w:r>
      <w:r w:rsidR="00BD4F79">
        <w:t>bine</w:t>
      </w:r>
      <w:proofErr w:type="spellEnd"/>
      <w:r>
        <w:t xml:space="preserve">. [20 DCMR 606.1] </w:t>
      </w:r>
    </w:p>
    <w:p w:rsidR="001E3CDF" w:rsidRDefault="001E3CDF" w:rsidP="00FE0FB2">
      <w:pPr>
        <w:ind w:left="720"/>
        <w:rPr>
          <w:i/>
        </w:rPr>
      </w:pPr>
    </w:p>
    <w:p w:rsidR="00FE0FB2" w:rsidRPr="00FE0FB2" w:rsidRDefault="00FE0FB2" w:rsidP="00FE0FB2">
      <w:pPr>
        <w:ind w:left="720"/>
        <w:rPr>
          <w:i/>
        </w:rPr>
      </w:pPr>
      <w:r w:rsidRPr="00FE0FB2">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0FB2">
        <w:rPr>
          <w:i/>
        </w:rPr>
        <w:t>II(</w:t>
      </w:r>
      <w:proofErr w:type="gramEnd"/>
      <w:r>
        <w:rPr>
          <w:i/>
        </w:rPr>
        <w:t>b</w:t>
      </w:r>
      <w:r w:rsidRPr="00FE0FB2">
        <w:rPr>
          <w:i/>
        </w:rPr>
        <w:t>) as stated above.</w:t>
      </w:r>
    </w:p>
    <w:p w:rsidR="00564065" w:rsidRDefault="00564065" w:rsidP="00564065"/>
    <w:p w:rsidR="000E57A6" w:rsidRDefault="0022300B" w:rsidP="000A1048">
      <w:pPr>
        <w:numPr>
          <w:ilvl w:val="0"/>
          <w:numId w:val="5"/>
        </w:numPr>
      </w:pPr>
      <w:r>
        <w:t xml:space="preserve">The Permittee shall not burn in the unit any fuel that contains total potential sulfur emissions in excess of </w:t>
      </w:r>
      <w:r w:rsidR="00BD4F79">
        <w:t xml:space="preserve">0.060 </w:t>
      </w:r>
      <w:proofErr w:type="spellStart"/>
      <w:r w:rsidR="000E57A6">
        <w:t>lb</w:t>
      </w:r>
      <w:proofErr w:type="spellEnd"/>
      <w:r w:rsidR="000E57A6">
        <w:t xml:space="preserve"> SO</w:t>
      </w:r>
      <w:r w:rsidR="000E57A6">
        <w:rPr>
          <w:vertAlign w:val="subscript"/>
        </w:rPr>
        <w:t>2</w:t>
      </w:r>
      <w:r w:rsidR="00B15F8F">
        <w:t>/MMBtu heat inpu</w:t>
      </w:r>
      <w:r w:rsidR="00002D55">
        <w:t>t</w:t>
      </w:r>
      <w:r>
        <w:t>.</w:t>
      </w:r>
      <w:r w:rsidR="000E57A6">
        <w:t xml:space="preserve"> [40 CFR 60.4330(a)(2)]</w:t>
      </w:r>
    </w:p>
    <w:p w:rsidR="0022300B" w:rsidRDefault="0022300B" w:rsidP="0022300B">
      <w:pPr>
        <w:ind w:left="720"/>
      </w:pPr>
    </w:p>
    <w:p w:rsidR="0022300B" w:rsidRPr="00925967" w:rsidRDefault="0022300B" w:rsidP="0022300B">
      <w:pPr>
        <w:pStyle w:val="ListParagraph"/>
        <w:numPr>
          <w:ilvl w:val="0"/>
          <w:numId w:val="5"/>
        </w:numPr>
        <w:rPr>
          <w:i/>
        </w:rPr>
      </w:pPr>
      <w:r>
        <w:t xml:space="preserve">NOx emissions from the </w:t>
      </w:r>
      <w:proofErr w:type="spellStart"/>
      <w:r>
        <w:t>microturbine</w:t>
      </w:r>
      <w:proofErr w:type="spellEnd"/>
      <w:r>
        <w:t xml:space="preserve"> shall not exceed </w:t>
      </w:r>
      <w:r w:rsidR="00DB603A">
        <w:t>25</w:t>
      </w:r>
      <w:r>
        <w:t xml:space="preserve"> </w:t>
      </w:r>
      <w:proofErr w:type="spellStart"/>
      <w:r>
        <w:t>ppmvd</w:t>
      </w:r>
      <w:proofErr w:type="spellEnd"/>
      <w:r>
        <w:t xml:space="preserve"> </w:t>
      </w:r>
      <w:r w:rsidR="00DB603A">
        <w:t>corrected to</w:t>
      </w:r>
      <w:r>
        <w:t xml:space="preserve"> 15% O</w:t>
      </w:r>
      <w:r>
        <w:rPr>
          <w:vertAlign w:val="subscript"/>
        </w:rPr>
        <w:t>2</w:t>
      </w:r>
      <w:r>
        <w:t xml:space="preserve"> [</w:t>
      </w:r>
      <w:r w:rsidR="00DB603A">
        <w:t>20 DCMR 805.4(a</w:t>
      </w:r>
      <w:proofErr w:type="gramStart"/>
      <w:r w:rsidR="00DB603A">
        <w:t>)(</w:t>
      </w:r>
      <w:proofErr w:type="gramEnd"/>
      <w:r w:rsidR="00DB603A">
        <w:t xml:space="preserve">3)(A)(i) and </w:t>
      </w:r>
      <w:r>
        <w:t>40 CFR 60.4320]</w:t>
      </w:r>
      <w:r w:rsidR="00DB603A">
        <w:t xml:space="preserve"> </w:t>
      </w:r>
      <w:r w:rsidR="00DB603A">
        <w:rPr>
          <w:i/>
        </w:rPr>
        <w:t xml:space="preserve">Note that this is a streamlined </w:t>
      </w:r>
      <w:r w:rsidR="00925967">
        <w:rPr>
          <w:i/>
        </w:rPr>
        <w:t xml:space="preserve">requirement. The requirements of </w:t>
      </w:r>
      <w:r w:rsidR="00925967" w:rsidRPr="00925967">
        <w:rPr>
          <w:i/>
        </w:rPr>
        <w:t>20 DCMR 805.4(a</w:t>
      </w:r>
      <w:proofErr w:type="gramStart"/>
      <w:r w:rsidR="00925967" w:rsidRPr="00925967">
        <w:rPr>
          <w:i/>
        </w:rPr>
        <w:t>)(</w:t>
      </w:r>
      <w:proofErr w:type="gramEnd"/>
      <w:r w:rsidR="00925967" w:rsidRPr="00925967">
        <w:rPr>
          <w:i/>
        </w:rPr>
        <w:t xml:space="preserve">3)(A)(i) </w:t>
      </w:r>
      <w:r w:rsidR="00925967">
        <w:rPr>
          <w:i/>
        </w:rPr>
        <w:t>are more stringent than the requirement</w:t>
      </w:r>
      <w:r w:rsidR="00636F01">
        <w:rPr>
          <w:i/>
        </w:rPr>
        <w:t>s of 40 CFR 60.4320. C</w:t>
      </w:r>
      <w:r w:rsidR="00925967">
        <w:rPr>
          <w:i/>
        </w:rPr>
        <w:t xml:space="preserve">ompliance with </w:t>
      </w:r>
      <w:r w:rsidR="00636F01">
        <w:rPr>
          <w:i/>
        </w:rPr>
        <w:t>this condition will ensure compliance with both requirements.</w:t>
      </w:r>
    </w:p>
    <w:p w:rsidR="000E57A6" w:rsidRDefault="000E57A6" w:rsidP="000E57A6">
      <w:pPr>
        <w:pStyle w:val="ListParagraph"/>
      </w:pPr>
    </w:p>
    <w:p w:rsidR="0022300B" w:rsidRDefault="0022300B" w:rsidP="0022300B">
      <w:pPr>
        <w:pStyle w:val="ListParagraph"/>
        <w:numPr>
          <w:ilvl w:val="0"/>
          <w:numId w:val="5"/>
        </w:numPr>
      </w:pPr>
      <w:r w:rsidRPr="006243B7">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931B2" w:rsidRDefault="006931B2" w:rsidP="006931B2"/>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C76FDC" w:rsidRDefault="00564065" w:rsidP="00C76FDC">
      <w:pPr>
        <w:ind w:left="720" w:hanging="360"/>
      </w:pPr>
      <w:r>
        <w:t>a.</w:t>
      </w:r>
      <w:r>
        <w:tab/>
      </w:r>
      <w:r w:rsidR="00741B83" w:rsidRPr="006243B7">
        <w:t xml:space="preserve">The </w:t>
      </w:r>
      <w:r w:rsidR="00741B83">
        <w:t xml:space="preserve">sole allowable fuel for </w:t>
      </w:r>
      <w:r w:rsidR="00F21FDE">
        <w:t xml:space="preserve">the </w:t>
      </w:r>
      <w:proofErr w:type="spellStart"/>
      <w:r w:rsidR="00F21FDE">
        <w:t>m</w:t>
      </w:r>
      <w:r w:rsidR="00741B83">
        <w:t>icroturbine</w:t>
      </w:r>
      <w:proofErr w:type="spellEnd"/>
      <w:r w:rsidR="00741B83">
        <w:t xml:space="preserve"> is natural gas</w:t>
      </w:r>
      <w:r w:rsidR="00F555F1">
        <w:t xml:space="preserve"> with a sulfur content </w:t>
      </w:r>
      <w:r w:rsidR="00680206">
        <w:t>of 20 grains of sulfur or less per 100 standard cubic feet.</w:t>
      </w:r>
      <w:r w:rsidR="00C76FDC">
        <w:t xml:space="preserve"> [20 DCMR 201</w:t>
      </w:r>
      <w:r w:rsidR="00863E9E">
        <w:t xml:space="preserve"> and 40 CFR 60.4330(a</w:t>
      </w:r>
      <w:proofErr w:type="gramStart"/>
      <w:r w:rsidR="00863E9E">
        <w:t>)(</w:t>
      </w:r>
      <w:proofErr w:type="gramEnd"/>
      <w:r w:rsidR="00863E9E">
        <w:t>2)</w:t>
      </w:r>
      <w:r w:rsidR="00C76FDC">
        <w:t>]</w:t>
      </w:r>
    </w:p>
    <w:p w:rsidR="00564065" w:rsidRDefault="00C76FDC" w:rsidP="00564065">
      <w:pPr>
        <w:numPr>
          <w:ilvl w:val="1"/>
          <w:numId w:val="2"/>
        </w:numPr>
        <w:ind w:left="720" w:hanging="720"/>
      </w:pPr>
      <w:r>
        <w:t xml:space="preserve"> </w:t>
      </w:r>
    </w:p>
    <w:p w:rsidR="00741B83" w:rsidRDefault="00741B83" w:rsidP="00741B83">
      <w:pPr>
        <w:ind w:left="720" w:hanging="360"/>
      </w:pPr>
      <w:r w:rsidRPr="006243B7">
        <w:t>b.</w:t>
      </w:r>
      <w:r w:rsidRPr="006243B7">
        <w:tab/>
      </w:r>
      <w:r>
        <w:t>The Permittee shall install and maintain a totalizing</w:t>
      </w:r>
      <w:r w:rsidR="00D26B62">
        <w:t xml:space="preserve"> natural gas fuel meter on the </w:t>
      </w:r>
      <w:proofErr w:type="spellStart"/>
      <w:r w:rsidR="00D26B62">
        <w:t>m</w:t>
      </w:r>
      <w:r>
        <w:t>icroturbine</w:t>
      </w:r>
      <w:proofErr w:type="spellEnd"/>
      <w:r>
        <w:t xml:space="preserve"> to t</w:t>
      </w:r>
      <w:r w:rsidR="00B56FF1">
        <w:t>rack natural gas usage</w:t>
      </w:r>
      <w:r>
        <w:t>. [20 DCMR 201]</w:t>
      </w:r>
    </w:p>
    <w:p w:rsidR="00FE0FB2" w:rsidRDefault="00FE0FB2" w:rsidP="00501FC1">
      <w:pPr>
        <w:tabs>
          <w:tab w:val="left" w:pos="1170"/>
        </w:tabs>
        <w:ind w:left="720" w:hanging="360"/>
      </w:pPr>
    </w:p>
    <w:p w:rsidR="00537EBB" w:rsidRPr="00501FC1" w:rsidRDefault="00537EBB" w:rsidP="00501FC1">
      <w:pPr>
        <w:tabs>
          <w:tab w:val="left" w:pos="1170"/>
        </w:tabs>
        <w:ind w:left="720" w:hanging="360"/>
        <w:rPr>
          <w:i/>
        </w:rPr>
      </w:pPr>
      <w:r>
        <w:t>c</w:t>
      </w:r>
      <w:r w:rsidR="00AE0665">
        <w:t>.</w:t>
      </w:r>
      <w:r>
        <w:t xml:space="preserve"> </w:t>
      </w:r>
      <w:r>
        <w:tab/>
      </w:r>
      <w:r w:rsidR="00741B83">
        <w:t>A</w:t>
      </w:r>
      <w:r w:rsidR="00D26B62">
        <w:t xml:space="preserve">ll electricity produced by the </w:t>
      </w:r>
      <w:proofErr w:type="spellStart"/>
      <w:r w:rsidR="00D26B62">
        <w:t>microturbine</w:t>
      </w:r>
      <w:proofErr w:type="spellEnd"/>
      <w:r w:rsidR="00D26B62">
        <w:t xml:space="preserve"> generator</w:t>
      </w:r>
      <w:r w:rsidR="00741B83">
        <w:t xml:space="preserve"> shall be used by the Permittee and shall not be sold</w:t>
      </w:r>
      <w:r w:rsidR="00925967">
        <w:t>.</w:t>
      </w:r>
    </w:p>
    <w:p w:rsidR="00244A21" w:rsidRDefault="00244A21" w:rsidP="00564065"/>
    <w:p w:rsidR="00537EBB" w:rsidRDefault="00636F01" w:rsidP="00537EBB">
      <w:pPr>
        <w:ind w:left="720" w:hanging="360"/>
      </w:pPr>
      <w:r>
        <w:t>d</w:t>
      </w:r>
      <w:r w:rsidR="00537EBB" w:rsidRPr="006243B7">
        <w:t>.</w:t>
      </w:r>
      <w:r w:rsidR="00537EBB">
        <w:tab/>
        <w:t xml:space="preserve">At all times, including periods of startup, shutdown, and malfunction, the owner or operator shall, to the extent practicable, maintain and operate </w:t>
      </w:r>
      <w:r w:rsidR="00B92F3D">
        <w:t>the unit</w:t>
      </w:r>
      <w:r w:rsidR="00537EBB">
        <w:t xml:space="preserve"> in a manner consistent with good air pollution control p</w:t>
      </w:r>
      <w:r w:rsidR="007A73B8">
        <w:t>ractice for minimizing emissions at all times including sta</w:t>
      </w:r>
      <w:r w:rsidR="00B56FF1">
        <w:t>rtup, shutdown, and malfunction</w:t>
      </w:r>
      <w:r w:rsidR="00537EBB">
        <w:t xml:space="preserve">. Determination of whether acceptable operating procedures are being used will be based on information available to the </w:t>
      </w:r>
      <w:r w:rsidR="00537EBB">
        <w:lastRenderedPageBreak/>
        <w:t>Department which may include, but is not limited to, monitoring results, opacity observations, review of operating and maintenance procedures, and inspection of the source. [</w:t>
      </w:r>
      <w:r w:rsidR="007A73B8">
        <w:t xml:space="preserve">40 CFR 60.4333(a) and </w:t>
      </w:r>
      <w:r w:rsidR="00537EBB">
        <w:t>20 DCMR 201]</w:t>
      </w:r>
    </w:p>
    <w:p w:rsidR="00564065" w:rsidRDefault="00564065" w:rsidP="00564065"/>
    <w:p w:rsidR="00564065" w:rsidRPr="006243B7" w:rsidRDefault="00564065" w:rsidP="00564065">
      <w:pPr>
        <w:ind w:left="360" w:hanging="360"/>
      </w:pPr>
      <w:r w:rsidRPr="006243B7">
        <w:t>IV.</w:t>
      </w:r>
      <w:r w:rsidRPr="006243B7">
        <w:tab/>
      </w:r>
      <w:r w:rsidRPr="006243B7">
        <w:rPr>
          <w:u w:val="single"/>
        </w:rPr>
        <w:t>Monitoring and Testing Requirements:</w:t>
      </w:r>
    </w:p>
    <w:p w:rsidR="00483FF8" w:rsidRPr="006243B7" w:rsidRDefault="00483FF8" w:rsidP="00483FF8">
      <w:pPr>
        <w:ind w:left="360" w:hanging="360"/>
      </w:pPr>
    </w:p>
    <w:p w:rsidR="005C3993" w:rsidRDefault="005C3993" w:rsidP="005C3993">
      <w:pPr>
        <w:pStyle w:val="ListParagraph"/>
        <w:numPr>
          <w:ilvl w:val="0"/>
          <w:numId w:val="12"/>
        </w:numPr>
        <w:tabs>
          <w:tab w:val="left" w:pos="1440"/>
        </w:tabs>
      </w:pPr>
      <w:r>
        <w:t xml:space="preserve">Within 60 days after achieving the maximum production rate at which the affected facility will be operated, but not later than 180 days after initial startup, and annually thereafter (no more than 14-months after the previous performance test), the Permittee shall conduct a Department- approved compliance source test for NOx in accordance with 40 CFR 60.8 and 40 CFR 60.4400, on the </w:t>
      </w:r>
      <w:proofErr w:type="spellStart"/>
      <w:r>
        <w:t>microturbine</w:t>
      </w:r>
      <w:proofErr w:type="spellEnd"/>
      <w:r w:rsidRPr="009B175C">
        <w:t xml:space="preserve"> </w:t>
      </w:r>
      <w:r>
        <w:t xml:space="preserve">to demonstrate compliance with the </w:t>
      </w:r>
      <w:r w:rsidR="009675A7">
        <w:t xml:space="preserve">NOx </w:t>
      </w:r>
      <w:r>
        <w:t xml:space="preserve">emissions limitations contained in Conditions </w:t>
      </w:r>
      <w:proofErr w:type="gramStart"/>
      <w:r>
        <w:t>II(</w:t>
      </w:r>
      <w:proofErr w:type="gramEnd"/>
      <w:r>
        <w:t>a)</w:t>
      </w:r>
      <w:r w:rsidR="007C1745">
        <w:t xml:space="preserve"> and (</w:t>
      </w:r>
      <w:r w:rsidR="00290DD6">
        <w:t>d</w:t>
      </w:r>
      <w:r w:rsidR="007C1745">
        <w:t>)</w:t>
      </w:r>
      <w:r>
        <w:t xml:space="preserve">. </w:t>
      </w:r>
      <w:r w:rsidRPr="00756236">
        <w:t>The annual test shall be performed no sooner than 9 months and no later than 1</w:t>
      </w:r>
      <w:r>
        <w:t>4</w:t>
      </w:r>
      <w:r w:rsidRPr="00756236">
        <w:t xml:space="preserve"> months after the previous source test. </w:t>
      </w:r>
      <w:r>
        <w:t>[20 DCMR 502,</w:t>
      </w:r>
      <w:r w:rsidR="00FC1060">
        <w:t xml:space="preserve"> 20 DCMR 805.4(b)(2),</w:t>
      </w:r>
      <w:r>
        <w:t xml:space="preserve"> 40 CFR 60.8, 40 CFR 60.4340, and 40 CFR 60.4400]</w:t>
      </w:r>
    </w:p>
    <w:p w:rsidR="00D878FE" w:rsidRDefault="00D878FE" w:rsidP="00D878FE">
      <w:pPr>
        <w:pStyle w:val="ListParagraph"/>
        <w:tabs>
          <w:tab w:val="left" w:pos="1440"/>
        </w:tabs>
      </w:pPr>
    </w:p>
    <w:p w:rsidR="004A6752" w:rsidRDefault="00D878FE" w:rsidP="009675A7">
      <w:pPr>
        <w:pStyle w:val="ListParagraph"/>
        <w:numPr>
          <w:ilvl w:val="0"/>
          <w:numId w:val="12"/>
        </w:numPr>
        <w:tabs>
          <w:tab w:val="left" w:pos="1440"/>
        </w:tabs>
      </w:pPr>
      <w:r>
        <w:t>The sample port design and locations shall be approved by the Department prior to installation. [20 DCMR 502]</w:t>
      </w:r>
      <w:r w:rsidR="00215B21">
        <w:br/>
      </w:r>
    </w:p>
    <w:p w:rsidR="00215B21" w:rsidRDefault="00215B21" w:rsidP="00215B21">
      <w:pPr>
        <w:pStyle w:val="ListParagraph"/>
        <w:numPr>
          <w:ilvl w:val="0"/>
          <w:numId w:val="12"/>
        </w:numPr>
        <w:tabs>
          <w:tab w:val="left" w:pos="990"/>
          <w:tab w:val="left" w:pos="1440"/>
        </w:tabs>
      </w:pPr>
      <w:r>
        <w:t xml:space="preserve">Within 60 days after achieving the maximum production rate at which the affected facility will be operated, but not later than 180 days after initial startup of the </w:t>
      </w:r>
      <w:proofErr w:type="spellStart"/>
      <w:r>
        <w:t>microturbine</w:t>
      </w:r>
      <w:proofErr w:type="spellEnd"/>
      <w:r>
        <w:t xml:space="preserve">, and </w:t>
      </w:r>
      <w:r w:rsidR="00FC1060">
        <w:t xml:space="preserve">at least </w:t>
      </w:r>
      <w:r>
        <w:t xml:space="preserve">once every five years thereafter, the Permittee shall perform testing using methods approved in advance by the Department to determine compliance with the remaining emission limits contained in Condition </w:t>
      </w:r>
      <w:proofErr w:type="gramStart"/>
      <w:r>
        <w:t>II(</w:t>
      </w:r>
      <w:proofErr w:type="gramEnd"/>
      <w:r>
        <w:t>a) of this permit</w:t>
      </w:r>
      <w:r w:rsidR="00EE2CD4">
        <w:t xml:space="preserve">. </w:t>
      </w:r>
      <w:r>
        <w:t>If the testing performed to meet the 180 day deadline is determined, by the Department, not to be representative of maximum operations due to delays in full startup, the Department may require additional testing at a time following completion of startup to ensure that representative testing is performed.</w:t>
      </w:r>
    </w:p>
    <w:p w:rsidR="00215B21" w:rsidRDefault="00215B21" w:rsidP="00215B21">
      <w:pPr>
        <w:pStyle w:val="ListParagraph"/>
        <w:tabs>
          <w:tab w:val="left" w:pos="990"/>
          <w:tab w:val="left" w:pos="1440"/>
        </w:tabs>
      </w:pPr>
    </w:p>
    <w:p w:rsidR="00F148BC" w:rsidRDefault="00E7752E" w:rsidP="004A6752">
      <w:pPr>
        <w:pStyle w:val="ListParagraph"/>
        <w:numPr>
          <w:ilvl w:val="0"/>
          <w:numId w:val="12"/>
        </w:numPr>
        <w:tabs>
          <w:tab w:val="left" w:pos="-1440"/>
          <w:tab w:val="left" w:pos="1440"/>
        </w:tabs>
      </w:pPr>
      <w:r>
        <w:t>T</w:t>
      </w:r>
      <w:r w:rsidR="00B7519A">
        <w:t xml:space="preserve">he </w:t>
      </w:r>
      <w:r w:rsidR="00F148BC">
        <w:t>Permittee shall obtain approval for the testing</w:t>
      </w:r>
      <w:r w:rsidR="00B7519A">
        <w:t xml:space="preserve"> required by</w:t>
      </w:r>
      <w:r>
        <w:t xml:space="preserve"> Conditions IV(a), (c), and (</w:t>
      </w:r>
      <w:r w:rsidR="00C134D0">
        <w:t>i</w:t>
      </w:r>
      <w:r>
        <w:t>)</w:t>
      </w:r>
      <w:r w:rsidR="00B7519A">
        <w:t xml:space="preserve"> this permit</w:t>
      </w:r>
      <w:r w:rsidR="00F148BC">
        <w:t xml:space="preserve"> and furnish the Department with a written report of the results of the performance tests and/or compliance tests in accordance with the following requirements [20 DCMR 502]:</w:t>
      </w:r>
    </w:p>
    <w:p w:rsidR="00D878FE" w:rsidRDefault="00D878FE" w:rsidP="00D878FE">
      <w:pPr>
        <w:tabs>
          <w:tab w:val="left" w:pos="-1440"/>
          <w:tab w:val="left" w:pos="1440"/>
        </w:tabs>
      </w:pPr>
    </w:p>
    <w:p w:rsidR="00483FF8" w:rsidRDefault="00483FF8" w:rsidP="00483FF8">
      <w:pPr>
        <w:tabs>
          <w:tab w:val="left" w:pos="-1440"/>
          <w:tab w:val="left" w:pos="1440"/>
        </w:tabs>
        <w:ind w:left="1080" w:hanging="360"/>
      </w:pPr>
      <w:r>
        <w:t>1.</w:t>
      </w:r>
      <w:r>
        <w:tab/>
        <w:t>One (1) original test protocol shall be submitted to the following address a minimum of thirty (30) days in advance of the proposed test date.  The test shall be conducted in accordance with Federal and District requirements.</w:t>
      </w:r>
    </w:p>
    <w:p w:rsidR="00483FF8" w:rsidRDefault="00483FF8" w:rsidP="00483FF8">
      <w:pPr>
        <w:tabs>
          <w:tab w:val="left" w:pos="-1440"/>
          <w:tab w:val="left" w:pos="1800"/>
        </w:tabs>
        <w:ind w:left="1800" w:hanging="360"/>
      </w:pPr>
    </w:p>
    <w:p w:rsidR="00483FF8" w:rsidRDefault="00483FF8" w:rsidP="00483FF8">
      <w:pPr>
        <w:tabs>
          <w:tab w:val="left" w:pos="-1440"/>
          <w:tab w:val="left" w:pos="-720"/>
        </w:tabs>
        <w:ind w:left="1080"/>
      </w:pPr>
      <w:r>
        <w:t>Chief, Compliance and Enforcement Branch</w:t>
      </w:r>
    </w:p>
    <w:p w:rsidR="00483FF8" w:rsidRDefault="00483FF8" w:rsidP="00483FF8">
      <w:pPr>
        <w:tabs>
          <w:tab w:val="left" w:pos="-1440"/>
          <w:tab w:val="left" w:pos="-720"/>
        </w:tabs>
        <w:ind w:left="1080"/>
      </w:pPr>
      <w:r>
        <w:t>Air Quality Division</w:t>
      </w:r>
    </w:p>
    <w:p w:rsidR="00483FF8" w:rsidRDefault="00483FF8" w:rsidP="00483FF8">
      <w:pPr>
        <w:tabs>
          <w:tab w:val="left" w:pos="-1440"/>
          <w:tab w:val="left" w:pos="-720"/>
        </w:tabs>
        <w:ind w:left="1080"/>
      </w:pPr>
      <w:r>
        <w:t>1200 First Street NE</w:t>
      </w:r>
    </w:p>
    <w:p w:rsidR="00483FF8" w:rsidRDefault="00483FF8" w:rsidP="00483FF8">
      <w:pPr>
        <w:tabs>
          <w:tab w:val="left" w:pos="-1440"/>
          <w:tab w:val="left" w:pos="-720"/>
        </w:tabs>
        <w:ind w:left="1080"/>
      </w:pPr>
      <w:r>
        <w:t>5</w:t>
      </w:r>
      <w:r>
        <w:rPr>
          <w:vertAlign w:val="superscript"/>
        </w:rPr>
        <w:t>th</w:t>
      </w:r>
      <w:r>
        <w:t xml:space="preserve"> Floor</w:t>
      </w:r>
    </w:p>
    <w:p w:rsidR="00483FF8" w:rsidRDefault="00483FF8" w:rsidP="00483FF8">
      <w:pPr>
        <w:tabs>
          <w:tab w:val="left" w:pos="-1440"/>
          <w:tab w:val="left" w:pos="-720"/>
        </w:tabs>
        <w:ind w:left="1080"/>
      </w:pPr>
      <w:r>
        <w:t>Washington, DC 20002</w:t>
      </w:r>
    </w:p>
    <w:p w:rsidR="00483FF8" w:rsidRDefault="00483FF8" w:rsidP="00483FF8">
      <w:pPr>
        <w:tabs>
          <w:tab w:val="left" w:pos="-1440"/>
          <w:tab w:val="left" w:pos="-720"/>
        </w:tabs>
        <w:ind w:left="1080"/>
      </w:pPr>
    </w:p>
    <w:p w:rsidR="00483FF8" w:rsidRDefault="00483FF8" w:rsidP="00483FF8">
      <w:pPr>
        <w:tabs>
          <w:tab w:val="left" w:pos="-1440"/>
          <w:tab w:val="left" w:pos="1080"/>
        </w:tabs>
        <w:ind w:left="1080" w:hanging="360"/>
      </w:pPr>
      <w:r>
        <w:lastRenderedPageBreak/>
        <w:t>2</w:t>
      </w:r>
      <w:r w:rsidRPr="006243B7">
        <w:t>.</w:t>
      </w:r>
      <w:r>
        <w:tab/>
        <w:t xml:space="preserve">The test protocol </w:t>
      </w:r>
      <w:r w:rsidR="00E7752E">
        <w:t xml:space="preserve">and date </w:t>
      </w:r>
      <w:r>
        <w:t>shall be approved by the Department prior to initiating any testing</w:t>
      </w:r>
      <w:r w:rsidR="00E7752E">
        <w:t xml:space="preserve">. </w:t>
      </w:r>
      <w:r>
        <w:t>The Department must have the opportunity to observe the test for the results to be considered for acceptance.</w:t>
      </w:r>
    </w:p>
    <w:p w:rsidR="00483FF8" w:rsidRDefault="00483FF8" w:rsidP="00483FF8">
      <w:pPr>
        <w:tabs>
          <w:tab w:val="left" w:pos="-1440"/>
          <w:tab w:val="left" w:pos="1080"/>
        </w:tabs>
        <w:ind w:left="1080" w:hanging="360"/>
      </w:pPr>
    </w:p>
    <w:p w:rsidR="00483FF8" w:rsidRDefault="00483FF8" w:rsidP="00483FF8">
      <w:pPr>
        <w:tabs>
          <w:tab w:val="left" w:pos="-1440"/>
          <w:tab w:val="left" w:pos="1080"/>
        </w:tabs>
        <w:ind w:left="1080" w:hanging="360"/>
      </w:pPr>
      <w:r>
        <w:t>3.</w:t>
      </w:r>
      <w:r>
        <w:tab/>
        <w:t xml:space="preserve">The final results of the testing shall be submitted to the Department within sixty (60) days of the test completion.  One (1) original copy of the test report shall be submitted to the address in Condition </w:t>
      </w:r>
      <w:proofErr w:type="gramStart"/>
      <w:r>
        <w:t>IV(</w:t>
      </w:r>
      <w:proofErr w:type="gramEnd"/>
      <w:r w:rsidR="00E7752E">
        <w:t>d</w:t>
      </w:r>
      <w:r>
        <w:t>)(</w:t>
      </w:r>
      <w:r w:rsidR="009D2930">
        <w:t>1</w:t>
      </w:r>
      <w:r>
        <w:t>) above.</w:t>
      </w:r>
    </w:p>
    <w:p w:rsidR="00483FF8" w:rsidRDefault="00483FF8" w:rsidP="00483FF8">
      <w:pPr>
        <w:tabs>
          <w:tab w:val="left" w:pos="-1440"/>
          <w:tab w:val="left" w:pos="1080"/>
        </w:tabs>
        <w:ind w:left="1080" w:hanging="360"/>
      </w:pPr>
    </w:p>
    <w:p w:rsidR="00483FF8" w:rsidRDefault="00483FF8" w:rsidP="00483FF8">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483FF8" w:rsidRDefault="00483FF8" w:rsidP="00483FF8">
      <w:pPr>
        <w:ind w:left="1800" w:hanging="360"/>
      </w:pPr>
    </w:p>
    <w:p w:rsidR="00483FF8" w:rsidRDefault="00483FF8" w:rsidP="00483FF8">
      <w:pPr>
        <w:ind w:left="1440" w:hanging="360"/>
      </w:pPr>
      <w:r w:rsidRPr="00AD0B22">
        <w:t>A</w:t>
      </w:r>
      <w:r>
        <w:t>.</w:t>
      </w:r>
      <w:r>
        <w:tab/>
        <w:t>A statement that the Permittee has reviewed the report from the emissions testing fi</w:t>
      </w:r>
      <w:r w:rsidR="00B56FF1">
        <w:t>rm and agrees with the findings;</w:t>
      </w:r>
    </w:p>
    <w:p w:rsidR="00483FF8" w:rsidRDefault="00483FF8" w:rsidP="00483FF8">
      <w:pPr>
        <w:ind w:left="1440" w:hanging="360"/>
      </w:pPr>
      <w:r>
        <w:t xml:space="preserve"> </w:t>
      </w:r>
    </w:p>
    <w:p w:rsidR="00483FF8" w:rsidRDefault="00483FF8" w:rsidP="00483FF8">
      <w:pPr>
        <w:ind w:left="1440" w:hanging="360"/>
      </w:pPr>
      <w:r w:rsidRPr="00AD0B22">
        <w:t>B.</w:t>
      </w:r>
      <w:r>
        <w:tab/>
        <w:t>Permit number(s) and condition(s) which are the basi</w:t>
      </w:r>
      <w:r w:rsidR="00B56FF1">
        <w:t>s for the compliance evaluation;</w:t>
      </w:r>
    </w:p>
    <w:p w:rsidR="00483FF8" w:rsidRDefault="00483FF8" w:rsidP="00483FF8">
      <w:pPr>
        <w:ind w:left="1440" w:hanging="360"/>
      </w:pPr>
    </w:p>
    <w:p w:rsidR="00483FF8" w:rsidRDefault="00483FF8" w:rsidP="00483FF8">
      <w:pPr>
        <w:ind w:left="1440" w:hanging="360"/>
      </w:pPr>
      <w:r w:rsidRPr="00AD0B22">
        <w:t>C</w:t>
      </w:r>
      <w:r>
        <w:t>.</w:t>
      </w:r>
      <w:r>
        <w:tab/>
        <w:t>Summary of results with respect to the permit cond</w:t>
      </w:r>
      <w:r w:rsidR="00B56FF1">
        <w:t>ition; and</w:t>
      </w:r>
    </w:p>
    <w:p w:rsidR="00483FF8" w:rsidRDefault="00483FF8" w:rsidP="00483FF8">
      <w:pPr>
        <w:ind w:left="1440" w:hanging="360"/>
      </w:pPr>
    </w:p>
    <w:p w:rsidR="00483FF8" w:rsidRDefault="00483FF8" w:rsidP="00483FF8">
      <w:pPr>
        <w:ind w:left="1440" w:hanging="360"/>
      </w:pPr>
      <w:r w:rsidRPr="00AD0B22">
        <w:t>D</w:t>
      </w:r>
      <w:r>
        <w:t>.</w:t>
      </w:r>
      <w:r>
        <w:tab/>
        <w:t xml:space="preserve">Statement of compliance or non-compliance with each </w:t>
      </w:r>
      <w:proofErr w:type="gramStart"/>
      <w:r>
        <w:t>permit</w:t>
      </w:r>
      <w:proofErr w:type="gramEnd"/>
      <w:r>
        <w:t xml:space="preserve"> conditions.</w:t>
      </w:r>
    </w:p>
    <w:p w:rsidR="00483FF8" w:rsidRDefault="00483FF8" w:rsidP="00483FF8">
      <w:pPr>
        <w:ind w:left="1800" w:hanging="360"/>
      </w:pPr>
    </w:p>
    <w:p w:rsidR="00483FF8" w:rsidRDefault="00483FF8" w:rsidP="00483FF8">
      <w:pPr>
        <w:tabs>
          <w:tab w:val="left" w:pos="-1440"/>
          <w:tab w:val="left" w:pos="1080"/>
        </w:tabs>
        <w:ind w:left="1080" w:hanging="360"/>
      </w:pPr>
      <w:r>
        <w:t>5.</w:t>
      </w:r>
      <w:r>
        <w:tab/>
        <w:t>The results must demonstrate to the Department’s satisfaction that the emission unit is operating in compliance with the applicable regulations and conditions of this permit; if the final report of the test results shows non-compliance the Permittee shall propose corrective action(s).  Failure to demonstrate compliance through the test may result in enforcement action.</w:t>
      </w:r>
    </w:p>
    <w:p w:rsidR="00483FF8" w:rsidRDefault="00483FF8" w:rsidP="00483FF8">
      <w:pPr>
        <w:tabs>
          <w:tab w:val="left" w:pos="-1440"/>
          <w:tab w:val="left" w:pos="1440"/>
        </w:tabs>
        <w:ind w:left="720" w:hanging="360"/>
      </w:pPr>
    </w:p>
    <w:p w:rsidR="00F148BC" w:rsidRDefault="00F148BC" w:rsidP="00F148BC">
      <w:pPr>
        <w:pStyle w:val="ListParagraph"/>
        <w:numPr>
          <w:ilvl w:val="0"/>
          <w:numId w:val="12"/>
        </w:numPr>
        <w:tabs>
          <w:tab w:val="left" w:pos="-1440"/>
          <w:tab w:val="left" w:pos="1800"/>
        </w:tabs>
      </w:pPr>
      <w:r>
        <w:t>For each affected unit that performs annual performance tests in accordance with 40 CFR 60.4340(a)</w:t>
      </w:r>
      <w:r w:rsidR="00E7752E">
        <w:t>, as required in Condition IV(a)</w:t>
      </w:r>
      <w:r>
        <w:t>, the Permittee must submit a written report of the results of each performance test to the U.S. EPA before the close of business on the 60</w:t>
      </w:r>
      <w:r w:rsidRPr="00F148BC">
        <w:rPr>
          <w:vertAlign w:val="superscript"/>
        </w:rPr>
        <w:t>th</w:t>
      </w:r>
      <w:r>
        <w:t xml:space="preserve"> day following the completion of the performance test. [40 CFR 60.4375].</w:t>
      </w:r>
      <w:r w:rsidR="00E7752E">
        <w:t xml:space="preserve"> Such reports shall be submitted in duplicate to </w:t>
      </w:r>
      <w:r w:rsidR="00F023FF">
        <w:t>the following address [40 CFR 60.4]:</w:t>
      </w:r>
    </w:p>
    <w:p w:rsidR="00F023FF" w:rsidRDefault="00F023FF" w:rsidP="00F023FF">
      <w:pPr>
        <w:pStyle w:val="ListParagraph"/>
        <w:tabs>
          <w:tab w:val="left" w:pos="-1440"/>
          <w:tab w:val="left" w:pos="1800"/>
        </w:tabs>
      </w:pPr>
    </w:p>
    <w:p w:rsidR="00F023FF" w:rsidRDefault="00F023FF" w:rsidP="00F023FF">
      <w:pPr>
        <w:pStyle w:val="ListParagraph"/>
        <w:tabs>
          <w:tab w:val="left" w:pos="-1440"/>
          <w:tab w:val="left" w:pos="1800"/>
        </w:tabs>
      </w:pPr>
      <w:r>
        <w:t>Director, Air Protection Division</w:t>
      </w:r>
    </w:p>
    <w:p w:rsidR="00F023FF" w:rsidRDefault="00F023FF" w:rsidP="00F023FF">
      <w:pPr>
        <w:pStyle w:val="ListParagraph"/>
        <w:tabs>
          <w:tab w:val="left" w:pos="-1440"/>
          <w:tab w:val="left" w:pos="1800"/>
        </w:tabs>
      </w:pPr>
      <w:r>
        <w:t>Mail Code 3AP00</w:t>
      </w:r>
    </w:p>
    <w:p w:rsidR="00F023FF" w:rsidRDefault="00F023FF" w:rsidP="00F023FF">
      <w:pPr>
        <w:pStyle w:val="ListParagraph"/>
        <w:tabs>
          <w:tab w:val="left" w:pos="-1440"/>
          <w:tab w:val="left" w:pos="1800"/>
        </w:tabs>
      </w:pPr>
      <w:r>
        <w:t>1650 Arch Street</w:t>
      </w:r>
    </w:p>
    <w:p w:rsidR="00F023FF" w:rsidRDefault="00F023FF" w:rsidP="00F023FF">
      <w:pPr>
        <w:pStyle w:val="ListParagraph"/>
        <w:tabs>
          <w:tab w:val="left" w:pos="-1440"/>
          <w:tab w:val="left" w:pos="1800"/>
        </w:tabs>
      </w:pPr>
      <w:r>
        <w:t>Philadelphia PA 19103-2029</w:t>
      </w:r>
    </w:p>
    <w:p w:rsidR="00F148BC" w:rsidRDefault="00F148BC" w:rsidP="00F148BC">
      <w:pPr>
        <w:pStyle w:val="ListParagraph"/>
        <w:tabs>
          <w:tab w:val="left" w:pos="-1440"/>
          <w:tab w:val="left" w:pos="1440"/>
        </w:tabs>
      </w:pPr>
    </w:p>
    <w:p w:rsidR="00E10322" w:rsidRDefault="00E10322" w:rsidP="00F148BC">
      <w:pPr>
        <w:pStyle w:val="ListParagraph"/>
        <w:numPr>
          <w:ilvl w:val="0"/>
          <w:numId w:val="12"/>
        </w:numPr>
        <w:tabs>
          <w:tab w:val="left" w:pos="-1440"/>
          <w:tab w:val="left" w:pos="1440"/>
        </w:tabs>
      </w:pPr>
      <w:r>
        <w:t xml:space="preserve">The Permittee shall monitor the total sulfur content of the natural gas being fired in the turbine, except as provided in Condition </w:t>
      </w:r>
      <w:r w:rsidR="00F023FF">
        <w:t>IV(f</w:t>
      </w:r>
      <w:r>
        <w:t xml:space="preserve">)(1). The sulfur content of the fuel must be determined using the total sulfur methods described in 40 CFR 60.4415. Alternatively, if </w:t>
      </w:r>
      <w:r>
        <w:lastRenderedPageBreak/>
        <w:t xml:space="preserve">the total sulfur content of the natural gas during the most recent performance test was less than half the limit specified in Condition </w:t>
      </w:r>
      <w:proofErr w:type="gramStart"/>
      <w:r>
        <w:t>III(</w:t>
      </w:r>
      <w:proofErr w:type="gramEnd"/>
      <w:r>
        <w:t>a), ASTM D4084, D4810, D5504, or D6228, or Gas Processors Association Standard 2377, which measure the major sulfur compounds, may be used. [40 CFR 60.4360].</w:t>
      </w:r>
    </w:p>
    <w:p w:rsidR="00E10322" w:rsidRDefault="00E10322" w:rsidP="00E10322">
      <w:pPr>
        <w:tabs>
          <w:tab w:val="left" w:pos="-1440"/>
          <w:tab w:val="left" w:pos="1440"/>
        </w:tabs>
      </w:pPr>
    </w:p>
    <w:p w:rsidR="00680206" w:rsidRDefault="00E10322" w:rsidP="00E10322">
      <w:pPr>
        <w:tabs>
          <w:tab w:val="left" w:pos="-1440"/>
          <w:tab w:val="left" w:pos="1440"/>
        </w:tabs>
        <w:ind w:left="1080" w:hanging="360"/>
      </w:pPr>
      <w:r>
        <w:t>1.</w:t>
      </w:r>
      <w:r>
        <w:tab/>
        <w:t>The Permittee may elect not to monitor the total sulfur content of the fuel combusted in the turbine</w:t>
      </w:r>
      <w:r w:rsidR="00680206">
        <w:t xml:space="preserve"> if the fuel is demonstrated not to exceed potential sulfur emissions of 0.060 </w:t>
      </w:r>
      <w:proofErr w:type="spellStart"/>
      <w:r w:rsidR="00680206">
        <w:t>lb</w:t>
      </w:r>
      <w:proofErr w:type="spellEnd"/>
      <w:r w:rsidR="00680206">
        <w:t xml:space="preserve"> SO</w:t>
      </w:r>
      <w:r w:rsidR="00680206">
        <w:rPr>
          <w:vertAlign w:val="subscript"/>
        </w:rPr>
        <w:t>2</w:t>
      </w:r>
      <w:r w:rsidR="00680206">
        <w:t>/MMBtu heat input. The Permittee shall use one of the following sources of information to make the required demonstration [40 CFR 60.4365]:</w:t>
      </w:r>
    </w:p>
    <w:p w:rsidR="00680206" w:rsidRDefault="00680206" w:rsidP="00E10322">
      <w:pPr>
        <w:tabs>
          <w:tab w:val="left" w:pos="-1440"/>
          <w:tab w:val="left" w:pos="1440"/>
        </w:tabs>
        <w:ind w:left="1080" w:hanging="360"/>
      </w:pPr>
    </w:p>
    <w:p w:rsidR="00863E9E" w:rsidRDefault="00680206" w:rsidP="00680206">
      <w:pPr>
        <w:tabs>
          <w:tab w:val="left" w:pos="-1440"/>
          <w:tab w:val="left" w:pos="1440"/>
        </w:tabs>
        <w:ind w:left="1440" w:hanging="360"/>
      </w:pPr>
      <w:r>
        <w:t>A.</w:t>
      </w:r>
      <w:r>
        <w:tab/>
        <w:t xml:space="preserve">The fuel quality characteristics in a current, valid purchase contract, tariff sheet, or transportation contract for the fuel, specifying that the maximum total sulfur content for the natural gas is 20 grains of sulfur or less per 100 standard cubic feet or that the fuel has potential sulfur emissions of less than 0.060 </w:t>
      </w:r>
      <w:proofErr w:type="spellStart"/>
      <w:r>
        <w:t>lb</w:t>
      </w:r>
      <w:proofErr w:type="spellEnd"/>
      <w:r>
        <w:t xml:space="preserve"> SO</w:t>
      </w:r>
      <w:r>
        <w:rPr>
          <w:vertAlign w:val="subscript"/>
        </w:rPr>
        <w:t>2</w:t>
      </w:r>
      <w:r>
        <w:t>/MMBtu heat input; or</w:t>
      </w:r>
    </w:p>
    <w:p w:rsidR="00680206" w:rsidRDefault="00680206" w:rsidP="00680206">
      <w:pPr>
        <w:tabs>
          <w:tab w:val="left" w:pos="-1440"/>
          <w:tab w:val="left" w:pos="1440"/>
        </w:tabs>
        <w:ind w:left="1440" w:hanging="360"/>
      </w:pPr>
    </w:p>
    <w:p w:rsidR="00680206" w:rsidRPr="00680206" w:rsidRDefault="00680206" w:rsidP="00680206">
      <w:pPr>
        <w:tabs>
          <w:tab w:val="left" w:pos="-1440"/>
          <w:tab w:val="left" w:pos="1440"/>
        </w:tabs>
        <w:ind w:left="1440" w:hanging="360"/>
      </w:pPr>
      <w:r>
        <w:t>B.</w:t>
      </w:r>
      <w:r>
        <w:tab/>
        <w:t xml:space="preserve">Representative </w:t>
      </w:r>
      <w:proofErr w:type="gramStart"/>
      <w:r>
        <w:t>fuel</w:t>
      </w:r>
      <w:proofErr w:type="gramEnd"/>
      <w:r>
        <w:t xml:space="preserve"> sampling data which show that the sulfur content of the fuel does not exceed 0.060 </w:t>
      </w:r>
      <w:proofErr w:type="spellStart"/>
      <w:r>
        <w:t>lb</w:t>
      </w:r>
      <w:proofErr w:type="spellEnd"/>
      <w:r>
        <w:t xml:space="preserve"> SO</w:t>
      </w:r>
      <w:r>
        <w:rPr>
          <w:vertAlign w:val="subscript"/>
        </w:rPr>
        <w:t>2</w:t>
      </w:r>
      <w:r>
        <w:t>/MMBtu heat input. At a minimum, the amount of fuel sampling data specified in section 2.3.1.4 or 2.3.2.4 of appendix D of 40 CFR 75 is required.</w:t>
      </w:r>
    </w:p>
    <w:p w:rsidR="00F148BC" w:rsidRDefault="00F148BC" w:rsidP="00483FF8">
      <w:pPr>
        <w:tabs>
          <w:tab w:val="left" w:pos="-1440"/>
          <w:tab w:val="left" w:pos="1440"/>
        </w:tabs>
        <w:ind w:left="720" w:hanging="360"/>
      </w:pPr>
    </w:p>
    <w:p w:rsidR="00483FF8" w:rsidRDefault="00C1496D" w:rsidP="00483FF8">
      <w:pPr>
        <w:tabs>
          <w:tab w:val="left" w:pos="-1440"/>
          <w:tab w:val="left" w:pos="1440"/>
        </w:tabs>
        <w:ind w:left="720" w:hanging="360"/>
      </w:pPr>
      <w:r>
        <w:t>g</w:t>
      </w:r>
      <w:r w:rsidR="00483FF8">
        <w:t>.</w:t>
      </w:r>
      <w:r w:rsidR="00483FF8">
        <w:tab/>
        <w:t xml:space="preserve">At least once per calendar </w:t>
      </w:r>
      <w:r>
        <w:t>quarter</w:t>
      </w:r>
      <w:r w:rsidR="00483FF8">
        <w:t xml:space="preserve">, during operation of the </w:t>
      </w:r>
      <w:proofErr w:type="spellStart"/>
      <w:r w:rsidR="00DB53B1">
        <w:t>microturbine</w:t>
      </w:r>
      <w:proofErr w:type="spellEnd"/>
      <w:r w:rsidR="00483FF8">
        <w:t>, the Permittee shall conduct visual observations of the emissions from</w:t>
      </w:r>
      <w:r w:rsidR="00DB53B1">
        <w:t xml:space="preserve"> the</w:t>
      </w:r>
      <w:r w:rsidR="00483FF8">
        <w:t xml:space="preserve"> </w:t>
      </w:r>
      <w:proofErr w:type="spellStart"/>
      <w:r w:rsidR="00DB53B1">
        <w:t>microturbine</w:t>
      </w:r>
      <w:proofErr w:type="spellEnd"/>
      <w:r w:rsidR="00483FF8">
        <w:t xml:space="preserve">. </w:t>
      </w:r>
      <w:r>
        <w:t xml:space="preserve">If no operations of the </w:t>
      </w:r>
      <w:proofErr w:type="spellStart"/>
      <w:r>
        <w:t>microturbine</w:t>
      </w:r>
      <w:proofErr w:type="spellEnd"/>
      <w:r>
        <w:t xml:space="preserve"> are occurring during a given quarter, this shall be so noted. </w:t>
      </w:r>
      <w:r w:rsidR="00483FF8">
        <w:t xml:space="preserve">If emissions are visible, the Permittee shall make arrangements for prompt visible emissions testing by a person certified in accordance with EPA Reference Method 9 (40 CFR 60, Appendix A). Such a test shall consist of a minimum of 30 minutes of opacity observations for the </w:t>
      </w:r>
      <w:proofErr w:type="spellStart"/>
      <w:r w:rsidR="00DB53B1">
        <w:t>microturbine</w:t>
      </w:r>
      <w:proofErr w:type="spellEnd"/>
      <w:r w:rsidR="00483FF8">
        <w:t xml:space="preserve"> in question.</w:t>
      </w:r>
    </w:p>
    <w:p w:rsidR="00483FF8" w:rsidRDefault="00483FF8" w:rsidP="00483FF8">
      <w:pPr>
        <w:tabs>
          <w:tab w:val="left" w:pos="-1440"/>
          <w:tab w:val="left" w:pos="1440"/>
        </w:tabs>
        <w:ind w:left="1440" w:hanging="360"/>
      </w:pPr>
    </w:p>
    <w:p w:rsidR="00483FF8" w:rsidRDefault="00C1496D" w:rsidP="00483FF8">
      <w:pPr>
        <w:tabs>
          <w:tab w:val="left" w:pos="-1440"/>
          <w:tab w:val="left" w:pos="1440"/>
        </w:tabs>
        <w:ind w:left="720" w:hanging="360"/>
      </w:pPr>
      <w:r>
        <w:t>h</w:t>
      </w:r>
      <w:r w:rsidR="00483FF8">
        <w:t>.</w:t>
      </w:r>
      <w:r w:rsidR="00483FF8">
        <w:tab/>
        <w:t xml:space="preserve">Regardless of whether or not emissions are observed pursuant to Condition </w:t>
      </w:r>
      <w:proofErr w:type="gramStart"/>
      <w:r w:rsidR="00483FF8">
        <w:t>IV(</w:t>
      </w:r>
      <w:proofErr w:type="gramEnd"/>
      <w:r>
        <w:t>g</w:t>
      </w:r>
      <w:r w:rsidR="00483FF8">
        <w:t xml:space="preserve">) of this permit, the Permittee shall conduct a minimum of one visible emissions test of </w:t>
      </w:r>
      <w:r w:rsidR="00DB53B1">
        <w:t>the</w:t>
      </w:r>
      <w:r w:rsidR="00483FF8">
        <w:t xml:space="preserve"> </w:t>
      </w:r>
      <w:proofErr w:type="spellStart"/>
      <w:r w:rsidR="00DB53B1">
        <w:t>microturbine</w:t>
      </w:r>
      <w:proofErr w:type="spellEnd"/>
      <w:r w:rsidR="00483FF8">
        <w:t xml:space="preserve"> </w:t>
      </w:r>
      <w:r>
        <w:t>each year</w:t>
      </w:r>
      <w:r w:rsidR="00483FF8">
        <w:t>. Such a test program shall consist of a minimum of 30 minutes of opacity observations of</w:t>
      </w:r>
      <w:r w:rsidR="00DB53B1">
        <w:t xml:space="preserve"> the</w:t>
      </w:r>
      <w:r w:rsidR="00483FF8">
        <w:t xml:space="preserve"> </w:t>
      </w:r>
      <w:proofErr w:type="spellStart"/>
      <w:r w:rsidR="00DB53B1">
        <w:t>microturbine</w:t>
      </w:r>
      <w:proofErr w:type="spellEnd"/>
      <w:r w:rsidR="00483FF8">
        <w:t xml:space="preserve"> and shall be performed by a person certified in accordance with EPA Reference Method 9 (40 CFR 60, Appendix A).  </w:t>
      </w:r>
    </w:p>
    <w:p w:rsidR="00F148BC" w:rsidRDefault="00F148BC" w:rsidP="00F148BC">
      <w:pPr>
        <w:tabs>
          <w:tab w:val="left" w:pos="-1440"/>
          <w:tab w:val="left" w:pos="1440"/>
        </w:tabs>
        <w:ind w:left="720" w:hanging="360"/>
      </w:pPr>
    </w:p>
    <w:p w:rsidR="00F148BC" w:rsidRDefault="00C1496D" w:rsidP="00F148BC">
      <w:pPr>
        <w:tabs>
          <w:tab w:val="left" w:pos="-1440"/>
          <w:tab w:val="left" w:pos="1440"/>
        </w:tabs>
        <w:ind w:left="720" w:hanging="360"/>
      </w:pPr>
      <w:r>
        <w:t>i</w:t>
      </w:r>
      <w:r w:rsidR="00F148BC" w:rsidRPr="006243B7">
        <w:t>.</w:t>
      </w:r>
      <w:r w:rsidR="00F148BC" w:rsidRPr="00EF397D">
        <w:tab/>
      </w:r>
      <w:r w:rsidR="00F148BC" w:rsidRPr="006243B7">
        <w:t xml:space="preserve">The </w:t>
      </w:r>
      <w:r w:rsidR="00F148BC">
        <w:t>Permittee</w:t>
      </w:r>
      <w:r w:rsidR="00F148BC" w:rsidRPr="006243B7">
        <w:t xml:space="preserve"> shall conduct and allow the Department access to conduct tests of air pollution emissions from any source as requested.  </w:t>
      </w:r>
      <w:r w:rsidR="00F148BC">
        <w:t>[</w:t>
      </w:r>
      <w:r w:rsidR="00F148BC" w:rsidRPr="006243B7">
        <w:t>20 DCMR 502.1</w:t>
      </w:r>
      <w:r w:rsidR="00F148BC">
        <w:t>]</w:t>
      </w:r>
    </w:p>
    <w:p w:rsidR="00F148BC" w:rsidRDefault="00F148BC" w:rsidP="00564065">
      <w:pPr>
        <w:ind w:left="360" w:hanging="360"/>
      </w:pPr>
    </w:p>
    <w:p w:rsidR="00564065" w:rsidRPr="006243B7" w:rsidRDefault="00564065" w:rsidP="00564065">
      <w:pPr>
        <w:ind w:left="360" w:hanging="360"/>
      </w:pPr>
      <w:r w:rsidRPr="006243B7">
        <w:t>V.</w:t>
      </w:r>
      <w:r w:rsidRPr="006243B7">
        <w:tab/>
      </w:r>
      <w:r>
        <w:rPr>
          <w:u w:val="single"/>
        </w:rPr>
        <w:t>Record Keeping Requirements</w:t>
      </w:r>
      <w:r>
        <w:t>:</w:t>
      </w:r>
    </w:p>
    <w:p w:rsidR="00564065" w:rsidRDefault="00564065" w:rsidP="00564065">
      <w:pPr>
        <w:ind w:left="360" w:hanging="360"/>
      </w:pPr>
    </w:p>
    <w:p w:rsidR="00850C80" w:rsidRDefault="00850C80" w:rsidP="00850C80">
      <w:pPr>
        <w:ind w:left="360"/>
      </w:pPr>
      <w:r>
        <w:t xml:space="preserve">The Permittee shall maintain the following records for a period of not less than five (5) years from the date of </w:t>
      </w:r>
      <w:r w:rsidR="00F03133">
        <w:t>each test, monitoring, sample measurement, report, application, or other activity</w:t>
      </w:r>
      <w:r w:rsidR="000608C5">
        <w:t xml:space="preserve"> (except where a longer period is specified below)</w:t>
      </w:r>
      <w:r w:rsidR="00F03133">
        <w:t>: [20 DCMR 302.1(c)(2)(B) and 20 DCMR 500.8</w:t>
      </w:r>
      <w:r w:rsidR="00F03133" w:rsidRPr="001F1F02">
        <w:t>]</w:t>
      </w:r>
      <w:r w:rsidR="00F03133">
        <w:t>]</w:t>
      </w:r>
    </w:p>
    <w:p w:rsidR="00564065" w:rsidRDefault="0005666E" w:rsidP="00564065">
      <w:pPr>
        <w:tabs>
          <w:tab w:val="left" w:pos="-1440"/>
          <w:tab w:val="left" w:pos="1440"/>
        </w:tabs>
        <w:ind w:left="720" w:hanging="360"/>
      </w:pPr>
      <w:r>
        <w:lastRenderedPageBreak/>
        <w:t>a</w:t>
      </w:r>
      <w:r w:rsidR="00564065">
        <w:t>.</w:t>
      </w:r>
      <w:r w:rsidR="00564065">
        <w:tab/>
        <w:t>The Permittee shall maintain records of all visible emissions monitoring perf</w:t>
      </w:r>
      <w:r w:rsidR="008D01B0">
        <w:t xml:space="preserve">ormed pursuant to Condition </w:t>
      </w:r>
      <w:proofErr w:type="gramStart"/>
      <w:r w:rsidR="008D01B0">
        <w:t>IV(</w:t>
      </w:r>
      <w:proofErr w:type="gramEnd"/>
      <w:r w:rsidR="002217D7">
        <w:t>g</w:t>
      </w:r>
      <w:r w:rsidR="00564065">
        <w:t>)</w:t>
      </w:r>
      <w:r w:rsidR="0040175C">
        <w:t>.</w:t>
      </w:r>
      <w:r w:rsidR="00564065">
        <w:t xml:space="preserve"> </w:t>
      </w:r>
      <w:r w:rsidR="0040175C">
        <w:t>These records shall include the identity of the person performing the monitoring as well as their initials or signature indicating his/her certification of the accuracy of the observations</w:t>
      </w:r>
      <w:r w:rsidR="008D01B0">
        <w:t>;</w:t>
      </w:r>
    </w:p>
    <w:p w:rsidR="0005666E" w:rsidRDefault="0005666E" w:rsidP="00564065">
      <w:pPr>
        <w:tabs>
          <w:tab w:val="left" w:pos="-1440"/>
          <w:tab w:val="left" w:pos="1440"/>
        </w:tabs>
        <w:ind w:left="720" w:hanging="360"/>
      </w:pPr>
    </w:p>
    <w:p w:rsidR="00564065" w:rsidRDefault="0040175C" w:rsidP="00564065">
      <w:pPr>
        <w:tabs>
          <w:tab w:val="left" w:pos="-1440"/>
          <w:tab w:val="left" w:pos="1440"/>
        </w:tabs>
        <w:ind w:left="720" w:hanging="360"/>
      </w:pPr>
      <w:r>
        <w:t>b</w:t>
      </w:r>
      <w:r w:rsidR="00564065">
        <w:t>.</w:t>
      </w:r>
      <w:r w:rsidR="00564065">
        <w:tab/>
        <w:t>The Permittee shall maintain records of all Method 9 visible emissions testing performed pursuant to Conditions IV(</w:t>
      </w:r>
      <w:r w:rsidR="002217D7">
        <w:t>g</w:t>
      </w:r>
      <w:r w:rsidR="00564065">
        <w:t>) and (</w:t>
      </w:r>
      <w:r w:rsidR="002217D7">
        <w:t>h</w:t>
      </w:r>
      <w:r w:rsidR="00564065">
        <w:t xml:space="preserve">). These records shall also include the identity of the person performing the visible emissions testing and documentation of his/her Method 9 certification. These records shall include documentation indicating whether the results show compliance with Condition </w:t>
      </w:r>
      <w:proofErr w:type="gramStart"/>
      <w:r w:rsidR="00564065">
        <w:t>II(</w:t>
      </w:r>
      <w:proofErr w:type="gramEnd"/>
      <w:r w:rsidR="00564065">
        <w:t>b)</w:t>
      </w:r>
      <w:r w:rsidR="008D01B0">
        <w:t>;</w:t>
      </w:r>
    </w:p>
    <w:p w:rsidR="00367167" w:rsidRDefault="00367167" w:rsidP="00367167">
      <w:pPr>
        <w:pStyle w:val="ListParagraph"/>
        <w:tabs>
          <w:tab w:val="left" w:pos="-1440"/>
          <w:tab w:val="left" w:pos="1440"/>
        </w:tabs>
      </w:pPr>
    </w:p>
    <w:p w:rsidR="00367167" w:rsidRDefault="00110F98" w:rsidP="0040175C">
      <w:pPr>
        <w:pStyle w:val="ListParagraph"/>
        <w:numPr>
          <w:ilvl w:val="0"/>
          <w:numId w:val="11"/>
        </w:numPr>
        <w:tabs>
          <w:tab w:val="left" w:pos="-1440"/>
          <w:tab w:val="left" w:pos="1440"/>
        </w:tabs>
      </w:pPr>
      <w:r>
        <w:t xml:space="preserve">The Permittee shall maintain records of the amount of </w:t>
      </w:r>
      <w:r w:rsidR="004F72B0">
        <w:t>natural gas</w:t>
      </w:r>
      <w:r w:rsidR="0040175C">
        <w:t xml:space="preserve"> </w:t>
      </w:r>
      <w:r w:rsidR="004F72B0">
        <w:t>burned</w:t>
      </w:r>
      <w:r w:rsidR="0040175C">
        <w:t xml:space="preserve"> each month in the </w:t>
      </w:r>
      <w:proofErr w:type="spellStart"/>
      <w:r w:rsidR="001B7A88">
        <w:t>microturbine</w:t>
      </w:r>
      <w:proofErr w:type="spellEnd"/>
      <w:r>
        <w:t xml:space="preserve">. </w:t>
      </w:r>
      <w:r w:rsidR="0040175C">
        <w:t>These data shall be maintained for a period of not less than five (5) years in a</w:t>
      </w:r>
      <w:r w:rsidR="002217D7">
        <w:t xml:space="preserve"> calendar year </w:t>
      </w:r>
      <w:r w:rsidR="0040175C">
        <w:t xml:space="preserve">sum format </w:t>
      </w:r>
      <w:r w:rsidR="008D01B0">
        <w:t>[20 DCMR 500.</w:t>
      </w:r>
      <w:r w:rsidR="0040175C">
        <w:t>8</w:t>
      </w:r>
      <w:r w:rsidR="008D01B0">
        <w:t>];</w:t>
      </w:r>
    </w:p>
    <w:p w:rsidR="004F72B0" w:rsidRDefault="004F72B0" w:rsidP="004F72B0">
      <w:pPr>
        <w:pStyle w:val="ListParagraph"/>
        <w:tabs>
          <w:tab w:val="left" w:pos="-1440"/>
          <w:tab w:val="left" w:pos="1440"/>
        </w:tabs>
      </w:pPr>
    </w:p>
    <w:p w:rsidR="004F72B0" w:rsidRDefault="004F72B0" w:rsidP="0040175C">
      <w:pPr>
        <w:pStyle w:val="ListParagraph"/>
        <w:numPr>
          <w:ilvl w:val="0"/>
          <w:numId w:val="11"/>
        </w:numPr>
        <w:tabs>
          <w:tab w:val="left" w:pos="-1440"/>
          <w:tab w:val="left" w:pos="1440"/>
        </w:tabs>
      </w:pPr>
      <w:r>
        <w:t>The Permitte</w:t>
      </w:r>
      <w:r w:rsidR="002217D7">
        <w:t>e shall maintain records of the results of all testing required pursuant to Conditions IV(a), (c), and (i);</w:t>
      </w:r>
    </w:p>
    <w:p w:rsidR="002217D7" w:rsidRDefault="002217D7" w:rsidP="002217D7">
      <w:pPr>
        <w:pStyle w:val="ListParagraph"/>
        <w:tabs>
          <w:tab w:val="left" w:pos="-1440"/>
          <w:tab w:val="left" w:pos="1440"/>
        </w:tabs>
      </w:pPr>
    </w:p>
    <w:p w:rsidR="002217D7" w:rsidRDefault="002217D7" w:rsidP="0040175C">
      <w:pPr>
        <w:pStyle w:val="ListParagraph"/>
        <w:numPr>
          <w:ilvl w:val="0"/>
          <w:numId w:val="11"/>
        </w:numPr>
        <w:tabs>
          <w:tab w:val="left" w:pos="-1440"/>
          <w:tab w:val="left" w:pos="1440"/>
        </w:tabs>
      </w:pPr>
      <w:r>
        <w:t>The Permittee shall maintain records of the results of all natural gas sulfur content monitoring, testing, and/or supplier documentation required pursuant to Condition IV(f);</w:t>
      </w:r>
    </w:p>
    <w:p w:rsidR="004F72B0" w:rsidRDefault="004F72B0" w:rsidP="004F72B0">
      <w:pPr>
        <w:pStyle w:val="ListParagraph"/>
      </w:pPr>
    </w:p>
    <w:p w:rsidR="004F72B0" w:rsidRDefault="004F72B0" w:rsidP="0040175C">
      <w:pPr>
        <w:pStyle w:val="ListParagraph"/>
        <w:numPr>
          <w:ilvl w:val="0"/>
          <w:numId w:val="11"/>
        </w:numPr>
        <w:tabs>
          <w:tab w:val="left" w:pos="-1440"/>
          <w:tab w:val="left" w:pos="1440"/>
        </w:tabs>
      </w:pPr>
      <w:r>
        <w:t xml:space="preserve">The Permittee shall maintain records of total emissions of each pollutant covered by Condition II(a) from the </w:t>
      </w:r>
      <w:proofErr w:type="spellStart"/>
      <w:r>
        <w:t>microturbine</w:t>
      </w:r>
      <w:proofErr w:type="spellEnd"/>
      <w:r>
        <w:t xml:space="preserve">, kept in </w:t>
      </w:r>
      <w:r w:rsidR="002217D7">
        <w:t>calendar year sum format;</w:t>
      </w:r>
    </w:p>
    <w:p w:rsidR="0040175C" w:rsidRDefault="0040175C" w:rsidP="0040175C">
      <w:pPr>
        <w:pStyle w:val="ListParagraph"/>
        <w:tabs>
          <w:tab w:val="left" w:pos="-1440"/>
          <w:tab w:val="left" w:pos="1440"/>
        </w:tabs>
      </w:pPr>
    </w:p>
    <w:p w:rsidR="0040175C" w:rsidRDefault="0040175C" w:rsidP="0040175C">
      <w:pPr>
        <w:pStyle w:val="ListParagraph"/>
        <w:numPr>
          <w:ilvl w:val="0"/>
          <w:numId w:val="11"/>
        </w:numPr>
        <w:tabs>
          <w:tab w:val="left" w:pos="-1440"/>
          <w:tab w:val="left" w:pos="1440"/>
        </w:tabs>
      </w:pPr>
      <w:r>
        <w:t xml:space="preserve">The Permittee shall maintain records of the maintenance performed on </w:t>
      </w:r>
      <w:r w:rsidR="00594F22">
        <w:t>the</w:t>
      </w:r>
      <w:r>
        <w:t xml:space="preserve"> unit;</w:t>
      </w:r>
    </w:p>
    <w:p w:rsidR="0040175C" w:rsidRDefault="0040175C" w:rsidP="0040175C">
      <w:pPr>
        <w:pStyle w:val="ListParagraph"/>
      </w:pPr>
    </w:p>
    <w:p w:rsidR="0040175C" w:rsidRDefault="0040175C" w:rsidP="0040175C">
      <w:pPr>
        <w:pStyle w:val="ListParagraph"/>
        <w:numPr>
          <w:ilvl w:val="0"/>
          <w:numId w:val="11"/>
        </w:numPr>
        <w:tabs>
          <w:tab w:val="left" w:pos="-1440"/>
          <w:tab w:val="left" w:pos="1440"/>
        </w:tabs>
      </w:pPr>
      <w:r>
        <w:t xml:space="preserve">The Permittee shall maintain records </w:t>
      </w:r>
      <w:r w:rsidRPr="009979A7">
        <w:t xml:space="preserve">of the occurrence and duration of </w:t>
      </w:r>
      <w:r w:rsidR="00305472">
        <w:t>any startup, shutdown, or malfunction in the operation of the equipment [40 CFR 60.7(b)]</w:t>
      </w:r>
      <w:r>
        <w:t>;</w:t>
      </w:r>
    </w:p>
    <w:p w:rsidR="00594F22" w:rsidRDefault="00594F22" w:rsidP="00594F22">
      <w:pPr>
        <w:pStyle w:val="ListParagraph"/>
      </w:pPr>
    </w:p>
    <w:p w:rsidR="000608C5" w:rsidRDefault="00594F22" w:rsidP="00594F22">
      <w:pPr>
        <w:pStyle w:val="ListParagraph"/>
        <w:numPr>
          <w:ilvl w:val="0"/>
          <w:numId w:val="11"/>
        </w:numPr>
        <w:tabs>
          <w:tab w:val="left" w:pos="-1440"/>
          <w:tab w:val="left" w:pos="1440"/>
        </w:tabs>
      </w:pPr>
      <w:r>
        <w:t xml:space="preserve">The Permittee shall maintain records of </w:t>
      </w:r>
      <w:r w:rsidRPr="009979A7">
        <w:t>the actions taken during periods of malfunction to minimize emissions, including corrective actions to restore malfunction</w:t>
      </w:r>
      <w:r>
        <w:t>ing</w:t>
      </w:r>
      <w:r w:rsidRPr="009979A7">
        <w:t xml:space="preserve"> process</w:t>
      </w:r>
      <w:r>
        <w:t>,</w:t>
      </w:r>
      <w:r w:rsidRPr="009979A7">
        <w:t xml:space="preserve"> air pollution control</w:t>
      </w:r>
      <w:r>
        <w:t>,</w:t>
      </w:r>
      <w:r w:rsidRPr="009979A7">
        <w:t xml:space="preserve"> and monitoring equipment to its normal or usual manner of operation</w:t>
      </w:r>
      <w:r w:rsidR="001B7A88">
        <w:t xml:space="preserve">; </w:t>
      </w:r>
    </w:p>
    <w:p w:rsidR="000608C5" w:rsidRDefault="000608C5" w:rsidP="000608C5">
      <w:pPr>
        <w:pStyle w:val="ListParagraph"/>
        <w:tabs>
          <w:tab w:val="left" w:pos="-1440"/>
          <w:tab w:val="left" w:pos="1440"/>
        </w:tabs>
      </w:pPr>
    </w:p>
    <w:p w:rsidR="00594F22" w:rsidRDefault="000608C5" w:rsidP="00594F22">
      <w:pPr>
        <w:pStyle w:val="ListParagraph"/>
        <w:numPr>
          <w:ilvl w:val="0"/>
          <w:numId w:val="11"/>
        </w:numPr>
        <w:tabs>
          <w:tab w:val="left" w:pos="-1440"/>
          <w:tab w:val="left" w:pos="1440"/>
        </w:tabs>
      </w:pPr>
      <w:r>
        <w:t>The Permittee shall maintain copies of all documentation associated with any exceedances of Con</w:t>
      </w:r>
      <w:r w:rsidR="00CC76D8">
        <w:t>dition II(e) of this permit;</w:t>
      </w:r>
    </w:p>
    <w:p w:rsidR="001B7A88" w:rsidRDefault="001B7A88" w:rsidP="0005666E">
      <w:pPr>
        <w:tabs>
          <w:tab w:val="left" w:pos="-1440"/>
          <w:tab w:val="left" w:pos="1440"/>
        </w:tabs>
        <w:ind w:left="720" w:hanging="360"/>
      </w:pPr>
    </w:p>
    <w:p w:rsidR="000608C5" w:rsidRDefault="000608C5" w:rsidP="0005666E">
      <w:pPr>
        <w:tabs>
          <w:tab w:val="left" w:pos="-1440"/>
          <w:tab w:val="left" w:pos="1440"/>
        </w:tabs>
        <w:ind w:left="720" w:hanging="360"/>
      </w:pPr>
      <w:r>
        <w:t>k</w:t>
      </w:r>
      <w:r w:rsidR="0066238A">
        <w:t>.</w:t>
      </w:r>
      <w:r w:rsidR="0066238A">
        <w:tab/>
      </w:r>
      <w:r>
        <w:t xml:space="preserve">The Permittee shall maintain a copy of the </w:t>
      </w:r>
      <w:proofErr w:type="spellStart"/>
      <w:r>
        <w:t>microturbine’s</w:t>
      </w:r>
      <w:proofErr w:type="spellEnd"/>
      <w:r>
        <w:t xml:space="preserve"> manufacturer’s maintenance and operating recommendations at the facility for the duration of the existence of t</w:t>
      </w:r>
      <w:r w:rsidR="00CC76D8">
        <w:t xml:space="preserve">he </w:t>
      </w:r>
      <w:proofErr w:type="spellStart"/>
      <w:r w:rsidR="00CC76D8">
        <w:t>microturbine</w:t>
      </w:r>
      <w:proofErr w:type="spellEnd"/>
      <w:r w:rsidR="00CC76D8">
        <w:t xml:space="preserve"> at the facility; and</w:t>
      </w:r>
    </w:p>
    <w:p w:rsidR="00CC76D8" w:rsidRDefault="00CC76D8" w:rsidP="0005666E">
      <w:pPr>
        <w:tabs>
          <w:tab w:val="left" w:pos="-1440"/>
          <w:tab w:val="left" w:pos="1440"/>
        </w:tabs>
        <w:ind w:left="720" w:hanging="360"/>
      </w:pPr>
    </w:p>
    <w:p w:rsidR="00CC76D8" w:rsidRDefault="00CC76D8" w:rsidP="00CC76D8">
      <w:pPr>
        <w:tabs>
          <w:tab w:val="left" w:pos="-1440"/>
          <w:tab w:val="left" w:pos="1440"/>
        </w:tabs>
        <w:ind w:left="720" w:hanging="360"/>
      </w:pPr>
      <w:r>
        <w:t>l.</w:t>
      </w:r>
      <w:r>
        <w:tab/>
        <w:t>The</w:t>
      </w:r>
      <w:r>
        <w:t xml:space="preserve"> Permittee shall, by March 1 of each year, calculate total emissions of the pollutants listed below from the </w:t>
      </w:r>
      <w:proofErr w:type="spellStart"/>
      <w:r w:rsidR="00A16212">
        <w:t>microturbine</w:t>
      </w:r>
      <w:proofErr w:type="spellEnd"/>
      <w:r w:rsidR="00A16212">
        <w:t xml:space="preserve"> system</w:t>
      </w:r>
      <w:r>
        <w:t xml:space="preserve"> during the previous calendar year for each fuel used:</w:t>
      </w:r>
    </w:p>
    <w:p w:rsidR="00CC76D8" w:rsidRDefault="00CC76D8" w:rsidP="00CC76D8">
      <w:pPr>
        <w:tabs>
          <w:tab w:val="left" w:pos="-1440"/>
          <w:tab w:val="left" w:pos="1440"/>
        </w:tabs>
        <w:ind w:left="900" w:hanging="540"/>
      </w:pPr>
    </w:p>
    <w:p w:rsidR="00CC76D8" w:rsidRDefault="00CC76D8" w:rsidP="00CC76D8">
      <w:pPr>
        <w:tabs>
          <w:tab w:val="left" w:pos="1080"/>
        </w:tabs>
        <w:ind w:left="2160" w:hanging="1440"/>
        <w:outlineLvl w:val="5"/>
      </w:pPr>
      <w:r>
        <w:lastRenderedPageBreak/>
        <w:t>1.</w:t>
      </w:r>
      <w:r>
        <w:rPr>
          <w:u w:val="words"/>
        </w:rPr>
        <w:tab/>
      </w:r>
      <w:r>
        <w:t>Oxides of nitrogen (NO</w:t>
      </w:r>
      <w:r>
        <w:rPr>
          <w:vertAlign w:val="subscript"/>
        </w:rPr>
        <w:t>x</w:t>
      </w:r>
      <w:r>
        <w:t>);</w:t>
      </w:r>
    </w:p>
    <w:p w:rsidR="00A16212" w:rsidRDefault="00A16212" w:rsidP="00CC76D8">
      <w:pPr>
        <w:tabs>
          <w:tab w:val="left" w:pos="1080"/>
        </w:tabs>
        <w:ind w:left="2160" w:hanging="1440"/>
        <w:outlineLvl w:val="5"/>
      </w:pPr>
    </w:p>
    <w:p w:rsidR="00CC76D8" w:rsidRDefault="00CC76D8" w:rsidP="00CC76D8">
      <w:pPr>
        <w:tabs>
          <w:tab w:val="left" w:pos="1080"/>
        </w:tabs>
        <w:ind w:left="2160" w:hanging="1440"/>
        <w:outlineLvl w:val="5"/>
      </w:pPr>
      <w:r>
        <w:t>2.</w:t>
      </w:r>
      <w:r>
        <w:rPr>
          <w:u w:val="words"/>
        </w:rPr>
        <w:tab/>
      </w:r>
      <w:r>
        <w:t>Sulfur dioxide (SO</w:t>
      </w:r>
      <w:r>
        <w:rPr>
          <w:vertAlign w:val="subscript"/>
        </w:rPr>
        <w:t>2</w:t>
      </w:r>
      <w:r>
        <w:t>);</w:t>
      </w:r>
    </w:p>
    <w:p w:rsidR="00CC76D8" w:rsidRDefault="00CC76D8" w:rsidP="00CC76D8">
      <w:pPr>
        <w:tabs>
          <w:tab w:val="left" w:pos="1080"/>
        </w:tabs>
        <w:ind w:hanging="1440"/>
      </w:pPr>
    </w:p>
    <w:p w:rsidR="00CC76D8" w:rsidRDefault="00CC76D8" w:rsidP="00CC76D8">
      <w:pPr>
        <w:tabs>
          <w:tab w:val="left" w:pos="1080"/>
        </w:tabs>
        <w:ind w:left="2160" w:hanging="1440"/>
        <w:outlineLvl w:val="5"/>
      </w:pPr>
      <w:r>
        <w:t>3.</w:t>
      </w:r>
      <w:r>
        <w:rPr>
          <w:u w:val="words"/>
        </w:rPr>
        <w:tab/>
      </w:r>
      <w:r>
        <w:t>Carbon monoxide (CO);</w:t>
      </w:r>
    </w:p>
    <w:p w:rsidR="00CC76D8" w:rsidRDefault="00CC76D8" w:rsidP="00CC76D8">
      <w:pPr>
        <w:tabs>
          <w:tab w:val="left" w:pos="1080"/>
        </w:tabs>
        <w:ind w:hanging="1440"/>
      </w:pPr>
    </w:p>
    <w:p w:rsidR="00CC76D8" w:rsidRDefault="00CC76D8" w:rsidP="00CC76D8">
      <w:pPr>
        <w:tabs>
          <w:tab w:val="left" w:pos="1080"/>
        </w:tabs>
        <w:ind w:left="2160" w:hanging="1440"/>
        <w:outlineLvl w:val="5"/>
      </w:pPr>
      <w:r>
        <w:t>4.</w:t>
      </w:r>
      <w:r>
        <w:rPr>
          <w:u w:val="words"/>
        </w:rPr>
        <w:tab/>
      </w:r>
      <w:r>
        <w:t>Volatile organic compounds (VOCs);</w:t>
      </w:r>
    </w:p>
    <w:p w:rsidR="00CC76D8" w:rsidRDefault="00CC76D8" w:rsidP="00CC76D8">
      <w:pPr>
        <w:tabs>
          <w:tab w:val="left" w:pos="1080"/>
        </w:tabs>
        <w:ind w:hanging="1440"/>
      </w:pPr>
    </w:p>
    <w:p w:rsidR="00CC76D8" w:rsidRDefault="00CC76D8" w:rsidP="00CC76D8">
      <w:pPr>
        <w:tabs>
          <w:tab w:val="left" w:pos="1080"/>
        </w:tabs>
        <w:ind w:left="2160" w:hanging="1440"/>
        <w:outlineLvl w:val="5"/>
      </w:pPr>
      <w:r>
        <w:t>5.</w:t>
      </w:r>
      <w:r>
        <w:rPr>
          <w:u w:val="words"/>
        </w:rPr>
        <w:tab/>
      </w:r>
      <w:r>
        <w:t>Lead (</w:t>
      </w:r>
      <w:proofErr w:type="spellStart"/>
      <w:r>
        <w:t>Pb</w:t>
      </w:r>
      <w:proofErr w:type="spellEnd"/>
      <w:r>
        <w:t>) and lead compounds, as defined in 40 CFR 50.12;</w:t>
      </w:r>
    </w:p>
    <w:p w:rsidR="00CC76D8" w:rsidRDefault="00CC76D8" w:rsidP="00CC76D8">
      <w:pPr>
        <w:tabs>
          <w:tab w:val="left" w:pos="1080"/>
        </w:tabs>
        <w:ind w:hanging="1440"/>
      </w:pPr>
    </w:p>
    <w:p w:rsidR="00CC76D8" w:rsidRDefault="00CC76D8" w:rsidP="00CC76D8">
      <w:pPr>
        <w:tabs>
          <w:tab w:val="left" w:pos="1080"/>
        </w:tabs>
        <w:ind w:left="2160" w:hanging="1440"/>
        <w:outlineLvl w:val="5"/>
      </w:pPr>
      <w:r>
        <w:t>6.</w:t>
      </w:r>
      <w:r>
        <w:rPr>
          <w:u w:val="words"/>
        </w:rPr>
        <w:tab/>
      </w:r>
      <w:r>
        <w:t>Ammonia (NH</w:t>
      </w:r>
      <w:r>
        <w:rPr>
          <w:vertAlign w:val="subscript"/>
        </w:rPr>
        <w:t>3</w:t>
      </w:r>
      <w:r>
        <w:t>);</w:t>
      </w:r>
    </w:p>
    <w:p w:rsidR="00CC76D8" w:rsidRDefault="00CC76D8" w:rsidP="00CC76D8">
      <w:pPr>
        <w:tabs>
          <w:tab w:val="left" w:pos="1080"/>
        </w:tabs>
        <w:ind w:hanging="1440"/>
      </w:pPr>
    </w:p>
    <w:p w:rsidR="00CC76D8" w:rsidRDefault="00CC76D8" w:rsidP="00CC76D8">
      <w:pPr>
        <w:tabs>
          <w:tab w:val="left" w:pos="1080"/>
        </w:tabs>
        <w:ind w:left="2160" w:hanging="1440"/>
        <w:outlineLvl w:val="5"/>
      </w:pPr>
      <w:r>
        <w:t>7.</w:t>
      </w:r>
      <w:r>
        <w:rPr>
          <w:u w:val="words"/>
        </w:rPr>
        <w:tab/>
      </w:r>
      <w:r>
        <w:t>Particulate matter in each of the following categories:</w:t>
      </w:r>
    </w:p>
    <w:p w:rsidR="00CC76D8" w:rsidRDefault="00CC76D8" w:rsidP="00CC76D8">
      <w:pPr>
        <w:tabs>
          <w:tab w:val="left" w:pos="1440"/>
        </w:tabs>
        <w:ind w:left="1440" w:hanging="360"/>
        <w:outlineLvl w:val="6"/>
      </w:pPr>
    </w:p>
    <w:p w:rsidR="00CC76D8" w:rsidRDefault="00CC76D8" w:rsidP="00CC76D8">
      <w:pPr>
        <w:tabs>
          <w:tab w:val="left" w:pos="1440"/>
        </w:tabs>
        <w:ind w:left="1440" w:hanging="360"/>
        <w:outlineLvl w:val="6"/>
      </w:pPr>
      <w:r>
        <w:t>A.</w:t>
      </w:r>
      <w:r>
        <w:rPr>
          <w:u w:val="words"/>
        </w:rPr>
        <w:tab/>
      </w:r>
      <w:r>
        <w:t>Total particulate matter (total filterable plus condensable),</w:t>
      </w:r>
    </w:p>
    <w:p w:rsidR="00CC76D8" w:rsidRDefault="00CC76D8" w:rsidP="00CC76D8">
      <w:pPr>
        <w:ind w:left="1440" w:hanging="360"/>
      </w:pPr>
    </w:p>
    <w:p w:rsidR="00CC76D8" w:rsidRDefault="00CC76D8" w:rsidP="00CC76D8">
      <w:pPr>
        <w:tabs>
          <w:tab w:val="left" w:pos="1440"/>
        </w:tabs>
        <w:ind w:left="1440" w:hanging="360"/>
        <w:outlineLvl w:val="6"/>
      </w:pPr>
      <w:r>
        <w:t>B.</w:t>
      </w:r>
      <w:r>
        <w:rPr>
          <w:u w:val="words"/>
        </w:rPr>
        <w:tab/>
      </w:r>
      <w:r>
        <w:t>Total particulate matter less than 10 microns in aerodynamic diameter (PM10, also known as PM10-PRI), equivalent to PM10-FIL plus PM-CON,</w:t>
      </w:r>
    </w:p>
    <w:p w:rsidR="00CC76D8" w:rsidRDefault="00CC76D8" w:rsidP="00CC76D8">
      <w:pPr>
        <w:ind w:left="1440" w:hanging="360"/>
      </w:pPr>
    </w:p>
    <w:p w:rsidR="00CC76D8" w:rsidRDefault="00CC76D8" w:rsidP="00CC76D8">
      <w:pPr>
        <w:tabs>
          <w:tab w:val="left" w:pos="1440"/>
        </w:tabs>
        <w:ind w:left="1440" w:hanging="360"/>
        <w:outlineLvl w:val="6"/>
      </w:pPr>
      <w:r>
        <w:t>C.</w:t>
      </w:r>
      <w:r>
        <w:rPr>
          <w:u w:val="words"/>
        </w:rPr>
        <w:tab/>
      </w:r>
      <w:r>
        <w:t>Condensable particulate matter (PM-CON),</w:t>
      </w:r>
    </w:p>
    <w:p w:rsidR="00CC76D8" w:rsidRDefault="00CC76D8" w:rsidP="00CC76D8">
      <w:pPr>
        <w:ind w:left="1440" w:hanging="360"/>
      </w:pPr>
    </w:p>
    <w:p w:rsidR="00CC76D8" w:rsidRDefault="00CC76D8" w:rsidP="00CC76D8">
      <w:pPr>
        <w:tabs>
          <w:tab w:val="left" w:pos="1440"/>
        </w:tabs>
        <w:ind w:left="1440" w:hanging="360"/>
        <w:outlineLvl w:val="6"/>
      </w:pPr>
      <w:r>
        <w:t>D.</w:t>
      </w:r>
      <w:r>
        <w:rPr>
          <w:u w:val="words"/>
        </w:rPr>
        <w:tab/>
      </w:r>
      <w:r>
        <w:t>Filterable particulate matter less than 10 microns in aerodynamic diameter (PM10-FIL),</w:t>
      </w:r>
    </w:p>
    <w:p w:rsidR="00CC76D8" w:rsidRDefault="00CC76D8" w:rsidP="00CC76D8">
      <w:pPr>
        <w:ind w:left="1440" w:hanging="360"/>
      </w:pPr>
    </w:p>
    <w:p w:rsidR="00CC76D8" w:rsidRDefault="00CC76D8" w:rsidP="00CC76D8">
      <w:pPr>
        <w:tabs>
          <w:tab w:val="left" w:pos="1440"/>
        </w:tabs>
        <w:ind w:left="1440" w:hanging="360"/>
        <w:outlineLvl w:val="6"/>
      </w:pPr>
      <w:r>
        <w:t>E.</w:t>
      </w:r>
      <w:r>
        <w:rPr>
          <w:u w:val="words"/>
        </w:rPr>
        <w:tab/>
      </w:r>
      <w:r>
        <w:t>Total particulate matter less than 2.5 microns in aerodynamic diameter (PM2.5, also known as PM2.5-PRI), equivalent to PM2.5-FIL plus PM-CON, and</w:t>
      </w:r>
    </w:p>
    <w:p w:rsidR="00CC76D8" w:rsidRDefault="00CC76D8" w:rsidP="00CC76D8">
      <w:pPr>
        <w:ind w:left="1440" w:hanging="360"/>
      </w:pPr>
    </w:p>
    <w:p w:rsidR="00CC76D8" w:rsidRDefault="00CC76D8" w:rsidP="00CC76D8">
      <w:pPr>
        <w:tabs>
          <w:tab w:val="left" w:pos="1440"/>
        </w:tabs>
        <w:ind w:left="1440" w:hanging="360"/>
        <w:outlineLvl w:val="6"/>
      </w:pPr>
      <w:r>
        <w:t>F.</w:t>
      </w:r>
      <w:r>
        <w:rPr>
          <w:u w:val="words"/>
        </w:rPr>
        <w:tab/>
      </w:r>
      <w:r>
        <w:t>Filterable particulate matter less than 2.5 microns in aerodynamic diameter (PM2.5-FIL); and</w:t>
      </w:r>
    </w:p>
    <w:p w:rsidR="00CC76D8" w:rsidRDefault="00CC76D8" w:rsidP="00CC76D8">
      <w:pPr>
        <w:ind w:left="1080" w:hanging="360"/>
      </w:pPr>
    </w:p>
    <w:p w:rsidR="00CC76D8" w:rsidRDefault="00CC76D8" w:rsidP="00CC76D8">
      <w:pPr>
        <w:tabs>
          <w:tab w:val="left" w:pos="-1440"/>
          <w:tab w:val="left" w:pos="1440"/>
        </w:tabs>
        <w:ind w:left="1080" w:hanging="360"/>
      </w:pPr>
      <w:r>
        <w:t>8.</w:t>
      </w:r>
      <w:r>
        <w:rPr>
          <w:u w:val="words"/>
        </w:rPr>
        <w:tab/>
      </w:r>
      <w:r>
        <w:t>All hazardous air pollutants (HAPs) as defined in §112(b) of the Clean Air Act, as revised;</w:t>
      </w:r>
    </w:p>
    <w:p w:rsidR="00CC76D8" w:rsidRDefault="00CC76D8" w:rsidP="0005666E">
      <w:pPr>
        <w:tabs>
          <w:tab w:val="left" w:pos="-1440"/>
          <w:tab w:val="left" w:pos="1440"/>
        </w:tabs>
        <w:ind w:left="720" w:hanging="360"/>
      </w:pPr>
    </w:p>
    <w:p w:rsidR="00CC76D8" w:rsidRPr="00CC76D8" w:rsidRDefault="00CC76D8" w:rsidP="00CC76D8">
      <w:pPr>
        <w:tabs>
          <w:tab w:val="left" w:pos="-1440"/>
          <w:tab w:val="left" w:pos="1440"/>
        </w:tabs>
        <w:ind w:left="360" w:hanging="360"/>
        <w:rPr>
          <w:u w:val="single"/>
        </w:rPr>
      </w:pPr>
      <w:r w:rsidRPr="00CC76D8">
        <w:t>VI.</w:t>
      </w:r>
      <w:r w:rsidRPr="00CC76D8">
        <w:tab/>
      </w:r>
      <w:r w:rsidRPr="00CC76D8">
        <w:rPr>
          <w:u w:val="single"/>
        </w:rPr>
        <w:t>Reporting Requirements:</w:t>
      </w:r>
    </w:p>
    <w:p w:rsidR="00305472" w:rsidRDefault="00305472" w:rsidP="0005666E">
      <w:pPr>
        <w:tabs>
          <w:tab w:val="left" w:pos="-1440"/>
          <w:tab w:val="left" w:pos="1440"/>
        </w:tabs>
        <w:ind w:left="720" w:hanging="360"/>
      </w:pPr>
    </w:p>
    <w:p w:rsidR="00305472" w:rsidRDefault="00CC76D8" w:rsidP="0005666E">
      <w:pPr>
        <w:tabs>
          <w:tab w:val="left" w:pos="-1440"/>
          <w:tab w:val="left" w:pos="1440"/>
        </w:tabs>
        <w:ind w:left="720" w:hanging="360"/>
      </w:pPr>
      <w:r>
        <w:t>a</w:t>
      </w:r>
      <w:r w:rsidR="00305472">
        <w:t>.</w:t>
      </w:r>
      <w:r w:rsidR="00305472">
        <w:tab/>
        <w:t>The Permittee shall furnish EPA, written notification or, if acceptable to both EPA and the Permittee, electronic notification, as follows</w:t>
      </w:r>
      <w:r w:rsidR="00362295">
        <w:t xml:space="preserve"> [40 CFR 60.7(a)]</w:t>
      </w:r>
      <w:r w:rsidR="00305472">
        <w:t>:</w:t>
      </w:r>
    </w:p>
    <w:p w:rsidR="00362295" w:rsidRDefault="00362295" w:rsidP="0005666E">
      <w:pPr>
        <w:tabs>
          <w:tab w:val="left" w:pos="-1440"/>
          <w:tab w:val="left" w:pos="1440"/>
        </w:tabs>
        <w:ind w:left="720" w:hanging="360"/>
      </w:pPr>
    </w:p>
    <w:p w:rsidR="00362295" w:rsidRDefault="00362295" w:rsidP="00362295">
      <w:pPr>
        <w:tabs>
          <w:tab w:val="left" w:pos="-1440"/>
          <w:tab w:val="left" w:pos="1440"/>
        </w:tabs>
        <w:ind w:left="1080" w:hanging="360"/>
      </w:pPr>
      <w:r>
        <w:t>1.</w:t>
      </w:r>
      <w:r>
        <w:tab/>
        <w:t>A notification of the date construction of the equipment is commenced, postmarked no later than 30 days after such date. This requirement shall not apply in the case of mass-produced facilities which are purchased in completed form; and</w:t>
      </w:r>
    </w:p>
    <w:p w:rsidR="00362295" w:rsidRDefault="00362295" w:rsidP="00362295">
      <w:pPr>
        <w:tabs>
          <w:tab w:val="left" w:pos="-1440"/>
          <w:tab w:val="left" w:pos="1440"/>
        </w:tabs>
        <w:ind w:left="1080" w:hanging="360"/>
      </w:pPr>
    </w:p>
    <w:p w:rsidR="00362295" w:rsidRDefault="00362295" w:rsidP="00362295">
      <w:pPr>
        <w:tabs>
          <w:tab w:val="left" w:pos="-1440"/>
          <w:tab w:val="left" w:pos="1440"/>
        </w:tabs>
        <w:ind w:left="1080" w:hanging="360"/>
      </w:pPr>
      <w:r>
        <w:t>2.</w:t>
      </w:r>
      <w:r>
        <w:tab/>
        <w:t>A notification of the actual date of initial startup of the equipment, postmarked within 15 days after such date.</w:t>
      </w:r>
    </w:p>
    <w:p w:rsidR="00CC76D8" w:rsidRDefault="00CC76D8" w:rsidP="00CC76D8">
      <w:pPr>
        <w:tabs>
          <w:tab w:val="left" w:pos="-1440"/>
          <w:tab w:val="left" w:pos="1440"/>
        </w:tabs>
        <w:ind w:left="720" w:hanging="360"/>
      </w:pPr>
      <w:bookmarkStart w:id="0" w:name="_GoBack"/>
      <w:bookmarkEnd w:id="0"/>
      <w:r>
        <w:lastRenderedPageBreak/>
        <w:t>b.</w:t>
      </w:r>
      <w:r>
        <w:tab/>
      </w:r>
      <w:r>
        <w:t>A report of the calculations performed pu</w:t>
      </w:r>
      <w:r>
        <w:t xml:space="preserve">rsuant to Condition </w:t>
      </w:r>
      <w:proofErr w:type="gramStart"/>
      <w:r>
        <w:t>V(</w:t>
      </w:r>
      <w:proofErr w:type="gramEnd"/>
      <w:r>
        <w:t>l</w:t>
      </w:r>
      <w:r>
        <w:t>) shall be submitted to the Department with the Annual Title V compliance certification report due each year for the previous calendar year. [20 DCMR 500.1]</w:t>
      </w:r>
    </w:p>
    <w:p w:rsidR="00362295" w:rsidRDefault="00362295" w:rsidP="00362295">
      <w:pPr>
        <w:tabs>
          <w:tab w:val="left" w:pos="-1440"/>
          <w:tab w:val="left" w:pos="1440"/>
        </w:tabs>
        <w:ind w:left="1080" w:hanging="360"/>
      </w:pPr>
    </w:p>
    <w:p w:rsidR="0066238A" w:rsidRDefault="0066238A" w:rsidP="00564065"/>
    <w:p w:rsidR="00564065" w:rsidRPr="006243B7" w:rsidRDefault="00564065" w:rsidP="00564065">
      <w:r w:rsidRPr="006243B7">
        <w:t>If you have any questions, please call me at (202) 535-1747</w:t>
      </w:r>
      <w:r>
        <w:t xml:space="preserve"> or John C. </w:t>
      </w:r>
      <w:proofErr w:type="spellStart"/>
      <w:r>
        <w:t>Nwoke</w:t>
      </w:r>
      <w:proofErr w:type="spellEnd"/>
      <w:r>
        <w:t xml:space="preserve"> at (202) 724-7778.</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71289B" w:rsidRPr="006243B7"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proofErr w:type="gramStart"/>
      <w:r w:rsidRPr="00BB18C3">
        <w:t>:</w:t>
      </w:r>
      <w:r>
        <w:t>JCN</w:t>
      </w:r>
      <w:proofErr w:type="gramEnd"/>
    </w:p>
    <w:sectPr w:rsidR="00E87306" w:rsidSect="00AC1D0B">
      <w:headerReference w:type="default" r:id="rId9"/>
      <w:footerReference w:type="default" r:id="rId10"/>
      <w:headerReference w:type="first" r:id="rId11"/>
      <w:footerReference w:type="first" r:id="rId12"/>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D4" w:rsidRDefault="00B16ED4">
      <w:r>
        <w:separator/>
      </w:r>
    </w:p>
  </w:endnote>
  <w:endnote w:type="continuationSeparator" w:id="0">
    <w:p w:rsidR="00B16ED4" w:rsidRDefault="00B1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68C0F350" wp14:editId="4D43371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6A4CD23" wp14:editId="1B5E8D8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15678D3F" wp14:editId="40A25545">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2EAE186D" wp14:editId="67EBD7B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D4" w:rsidRDefault="00B16ED4">
      <w:r>
        <w:separator/>
      </w:r>
    </w:p>
  </w:footnote>
  <w:footnote w:type="continuationSeparator" w:id="0">
    <w:p w:rsidR="00B16ED4" w:rsidRDefault="00B1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14" w:rsidRPr="0008644E" w:rsidRDefault="00CA6B74" w:rsidP="00DC1B14">
    <w:pPr>
      <w:pStyle w:val="Header"/>
      <w:rPr>
        <w:b/>
      </w:rPr>
    </w:pPr>
    <w:r>
      <w:rPr>
        <w:b/>
      </w:rPr>
      <w:t>American</w:t>
    </w:r>
    <w:r w:rsidR="00A97E9D">
      <w:rPr>
        <w:b/>
      </w:rPr>
      <w:t xml:space="preserve"> University</w:t>
    </w:r>
    <w:r w:rsidR="008827ED">
      <w:rPr>
        <w:b/>
      </w:rPr>
      <w:t xml:space="preserve"> </w:t>
    </w:r>
    <w:r w:rsidR="00A97E9D">
      <w:rPr>
        <w:b/>
      </w:rPr>
      <w:t>–</w:t>
    </w:r>
    <w:r w:rsidR="008827ED">
      <w:rPr>
        <w:b/>
      </w:rPr>
      <w:t xml:space="preserve"> </w:t>
    </w:r>
    <w:r w:rsidR="00511480">
      <w:rPr>
        <w:b/>
      </w:rPr>
      <w:t>Asbury Hall</w:t>
    </w:r>
    <w:r w:rsidR="00A97E9D">
      <w:rPr>
        <w:b/>
      </w:rPr>
      <w:t xml:space="preserve"> </w:t>
    </w:r>
    <w:r w:rsidR="00B37086">
      <w:rPr>
        <w:b/>
      </w:rPr>
      <w:t>Central Plant</w:t>
    </w:r>
  </w:p>
  <w:p w:rsidR="00DC1B14" w:rsidRPr="001A1259" w:rsidRDefault="0063378A" w:rsidP="00DC1B14">
    <w:pPr>
      <w:pStyle w:val="Header"/>
      <w:rPr>
        <w:b/>
      </w:rPr>
    </w:pPr>
    <w:r>
      <w:rPr>
        <w:b/>
      </w:rPr>
      <w:t>Permit</w:t>
    </w:r>
    <w:r w:rsidR="00DC1B14" w:rsidRPr="001A1259">
      <w:rPr>
        <w:b/>
      </w:rPr>
      <w:t xml:space="preserve"> </w:t>
    </w:r>
    <w:r>
      <w:rPr>
        <w:b/>
      </w:rPr>
      <w:t>No. 7207</w:t>
    </w:r>
    <w:r w:rsidR="00DC1B14">
      <w:rPr>
        <w:b/>
      </w:rPr>
      <w:t xml:space="preserve"> </w:t>
    </w:r>
    <w:r w:rsidR="00DC1B14" w:rsidRPr="001A1259">
      <w:rPr>
        <w:b/>
      </w:rPr>
      <w:t xml:space="preserve">to </w:t>
    </w:r>
    <w:r w:rsidR="00AD0C07">
      <w:rPr>
        <w:b/>
      </w:rPr>
      <w:t xml:space="preserve">Construct and </w:t>
    </w:r>
    <w:r w:rsidR="00DC1B14">
      <w:rPr>
        <w:b/>
      </w:rPr>
      <w:t>Operate</w:t>
    </w:r>
    <w:r w:rsidR="00B9461D">
      <w:rPr>
        <w:b/>
      </w:rPr>
      <w:t xml:space="preserve"> </w:t>
    </w:r>
    <w:r>
      <w:rPr>
        <w:b/>
      </w:rPr>
      <w:t>One</w:t>
    </w:r>
    <w:r w:rsidR="00B9461D">
      <w:rPr>
        <w:b/>
      </w:rPr>
      <w:t xml:space="preserve"> </w:t>
    </w:r>
    <w:r w:rsidR="003E6FB3">
      <w:rPr>
        <w:b/>
      </w:rPr>
      <w:t>Natural Gas</w:t>
    </w:r>
    <w:r w:rsidR="00AD0C07">
      <w:rPr>
        <w:b/>
      </w:rPr>
      <w:t>-Fired</w:t>
    </w:r>
    <w:r w:rsidR="00DC1B14">
      <w:rPr>
        <w:b/>
      </w:rPr>
      <w:t xml:space="preserve"> </w:t>
    </w:r>
    <w:proofErr w:type="spellStart"/>
    <w:r>
      <w:rPr>
        <w:b/>
      </w:rPr>
      <w:t>Microturbine</w:t>
    </w:r>
    <w:proofErr w:type="spellEnd"/>
    <w:r w:rsidR="000F5F9B">
      <w:rPr>
        <w:b/>
      </w:rPr>
      <w:t xml:space="preserve"> System</w:t>
    </w:r>
  </w:p>
  <w:p w:rsidR="00564065" w:rsidRDefault="000F5F9B" w:rsidP="00564065">
    <w:pPr>
      <w:pStyle w:val="Header"/>
    </w:pPr>
    <w:r>
      <w:t>S</w:t>
    </w:r>
    <w:r w:rsidR="00C134D0">
      <w:t>eptember 11</w:t>
    </w:r>
    <w:r w:rsidR="00B9461D">
      <w:t>, 201</w:t>
    </w:r>
    <w:r w:rsidR="00A97E9D">
      <w:t>8</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A16212">
      <w:rPr>
        <w:noProof/>
      </w:rPr>
      <w:t>9</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699168C"/>
    <w:multiLevelType w:val="hybridMultilevel"/>
    <w:tmpl w:val="68388F42"/>
    <w:lvl w:ilvl="0" w:tplc="F5F20BD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B55AB0C2"/>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nsid w:val="434B5764"/>
    <w:multiLevelType w:val="hybridMultilevel"/>
    <w:tmpl w:val="CACEF972"/>
    <w:lvl w:ilvl="0" w:tplc="128CC7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2F0C63"/>
    <w:multiLevelType w:val="hybridMultilevel"/>
    <w:tmpl w:val="719E20DE"/>
    <w:lvl w:ilvl="0" w:tplc="6AEAFCB2">
      <w:start w:val="3"/>
      <w:numFmt w:val="lowerLetter"/>
      <w:lvlText w:val="%1."/>
      <w:lvlJc w:val="left"/>
      <w:pPr>
        <w:ind w:left="720" w:hanging="360"/>
      </w:pPr>
      <w:rPr>
        <w:rFonts w:hint="default"/>
        <w:i w:val="0"/>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9"/>
  </w:num>
  <w:num w:numId="6">
    <w:abstractNumId w:val="3"/>
  </w:num>
  <w:num w:numId="7">
    <w:abstractNumId w:val="5"/>
  </w:num>
  <w:num w:numId="8">
    <w:abstractNumId w:val="8"/>
  </w:num>
  <w:num w:numId="9">
    <w:abstractNumId w:val="10"/>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D55"/>
    <w:rsid w:val="00004746"/>
    <w:rsid w:val="00023DEE"/>
    <w:rsid w:val="00024F87"/>
    <w:rsid w:val="000347C2"/>
    <w:rsid w:val="00042788"/>
    <w:rsid w:val="00045EF2"/>
    <w:rsid w:val="00047EB0"/>
    <w:rsid w:val="0005177E"/>
    <w:rsid w:val="00052994"/>
    <w:rsid w:val="0005666E"/>
    <w:rsid w:val="000608C5"/>
    <w:rsid w:val="00071F3B"/>
    <w:rsid w:val="000844BE"/>
    <w:rsid w:val="000938C8"/>
    <w:rsid w:val="000A1048"/>
    <w:rsid w:val="000A4B16"/>
    <w:rsid w:val="000D718B"/>
    <w:rsid w:val="000E57A6"/>
    <w:rsid w:val="000F1922"/>
    <w:rsid w:val="000F5F9B"/>
    <w:rsid w:val="00110D20"/>
    <w:rsid w:val="00110F98"/>
    <w:rsid w:val="001146D1"/>
    <w:rsid w:val="00117635"/>
    <w:rsid w:val="00124F79"/>
    <w:rsid w:val="0013210D"/>
    <w:rsid w:val="00136B8D"/>
    <w:rsid w:val="00157D06"/>
    <w:rsid w:val="00177B6C"/>
    <w:rsid w:val="00183824"/>
    <w:rsid w:val="00183F16"/>
    <w:rsid w:val="00194954"/>
    <w:rsid w:val="001A2D01"/>
    <w:rsid w:val="001B098D"/>
    <w:rsid w:val="001B7A88"/>
    <w:rsid w:val="001D1334"/>
    <w:rsid w:val="001E0E03"/>
    <w:rsid w:val="001E26E4"/>
    <w:rsid w:val="001E3CDF"/>
    <w:rsid w:val="001F61B4"/>
    <w:rsid w:val="00215B21"/>
    <w:rsid w:val="002208D5"/>
    <w:rsid w:val="002217D7"/>
    <w:rsid w:val="0022300B"/>
    <w:rsid w:val="00226D48"/>
    <w:rsid w:val="00244A21"/>
    <w:rsid w:val="00255E53"/>
    <w:rsid w:val="00271FB2"/>
    <w:rsid w:val="002908A0"/>
    <w:rsid w:val="00290DD6"/>
    <w:rsid w:val="002A7EB0"/>
    <w:rsid w:val="002B1D56"/>
    <w:rsid w:val="002C6660"/>
    <w:rsid w:val="002C670D"/>
    <w:rsid w:val="002C6959"/>
    <w:rsid w:val="002D0497"/>
    <w:rsid w:val="002E239A"/>
    <w:rsid w:val="002E37D1"/>
    <w:rsid w:val="0030116A"/>
    <w:rsid w:val="003044C6"/>
    <w:rsid w:val="00305472"/>
    <w:rsid w:val="0032100D"/>
    <w:rsid w:val="0032619F"/>
    <w:rsid w:val="00355520"/>
    <w:rsid w:val="00362295"/>
    <w:rsid w:val="00362D49"/>
    <w:rsid w:val="00367167"/>
    <w:rsid w:val="00367CDF"/>
    <w:rsid w:val="00377959"/>
    <w:rsid w:val="003A0C66"/>
    <w:rsid w:val="003A29DB"/>
    <w:rsid w:val="003B2CC6"/>
    <w:rsid w:val="003C1530"/>
    <w:rsid w:val="003C233D"/>
    <w:rsid w:val="003C67A1"/>
    <w:rsid w:val="003D2890"/>
    <w:rsid w:val="003E6FB3"/>
    <w:rsid w:val="0040175C"/>
    <w:rsid w:val="00451564"/>
    <w:rsid w:val="00452CED"/>
    <w:rsid w:val="00460225"/>
    <w:rsid w:val="00462A6E"/>
    <w:rsid w:val="00482725"/>
    <w:rsid w:val="00483FF8"/>
    <w:rsid w:val="004A1250"/>
    <w:rsid w:val="004A6752"/>
    <w:rsid w:val="004C41B1"/>
    <w:rsid w:val="004D1B50"/>
    <w:rsid w:val="004F15BB"/>
    <w:rsid w:val="004F72B0"/>
    <w:rsid w:val="004F7D23"/>
    <w:rsid w:val="00501FC1"/>
    <w:rsid w:val="00507F38"/>
    <w:rsid w:val="00511480"/>
    <w:rsid w:val="00523832"/>
    <w:rsid w:val="00525252"/>
    <w:rsid w:val="00537EBB"/>
    <w:rsid w:val="0054549A"/>
    <w:rsid w:val="005561A2"/>
    <w:rsid w:val="00561103"/>
    <w:rsid w:val="00564065"/>
    <w:rsid w:val="0056640B"/>
    <w:rsid w:val="005735C9"/>
    <w:rsid w:val="0057729C"/>
    <w:rsid w:val="00593083"/>
    <w:rsid w:val="00594F22"/>
    <w:rsid w:val="005A2EC4"/>
    <w:rsid w:val="005C1384"/>
    <w:rsid w:val="005C3993"/>
    <w:rsid w:val="005C56C9"/>
    <w:rsid w:val="005D2B8D"/>
    <w:rsid w:val="005E2B54"/>
    <w:rsid w:val="0061080C"/>
    <w:rsid w:val="00617DC2"/>
    <w:rsid w:val="0063378A"/>
    <w:rsid w:val="00636F01"/>
    <w:rsid w:val="006422A0"/>
    <w:rsid w:val="006527CA"/>
    <w:rsid w:val="00653218"/>
    <w:rsid w:val="006542C9"/>
    <w:rsid w:val="0066238A"/>
    <w:rsid w:val="006764AE"/>
    <w:rsid w:val="00680206"/>
    <w:rsid w:val="00684B23"/>
    <w:rsid w:val="006931B2"/>
    <w:rsid w:val="00694B0B"/>
    <w:rsid w:val="006A0EF5"/>
    <w:rsid w:val="006A6899"/>
    <w:rsid w:val="006B6E7C"/>
    <w:rsid w:val="006C20A5"/>
    <w:rsid w:val="006C2AE5"/>
    <w:rsid w:val="006D16FE"/>
    <w:rsid w:val="006D1EB5"/>
    <w:rsid w:val="006D276D"/>
    <w:rsid w:val="006E19B9"/>
    <w:rsid w:val="006E2143"/>
    <w:rsid w:val="007011CB"/>
    <w:rsid w:val="0071289B"/>
    <w:rsid w:val="00723B5D"/>
    <w:rsid w:val="0073637C"/>
    <w:rsid w:val="00737C82"/>
    <w:rsid w:val="00741B83"/>
    <w:rsid w:val="00752165"/>
    <w:rsid w:val="0075578D"/>
    <w:rsid w:val="00774F01"/>
    <w:rsid w:val="00785ED5"/>
    <w:rsid w:val="007A6215"/>
    <w:rsid w:val="007A73B8"/>
    <w:rsid w:val="007A7583"/>
    <w:rsid w:val="007B18E8"/>
    <w:rsid w:val="007B677C"/>
    <w:rsid w:val="007B6F40"/>
    <w:rsid w:val="007B7DDD"/>
    <w:rsid w:val="007C1745"/>
    <w:rsid w:val="007E529D"/>
    <w:rsid w:val="007E680E"/>
    <w:rsid w:val="007F35DA"/>
    <w:rsid w:val="0081595A"/>
    <w:rsid w:val="0082065A"/>
    <w:rsid w:val="008258F6"/>
    <w:rsid w:val="00833E6C"/>
    <w:rsid w:val="00850C80"/>
    <w:rsid w:val="00863E9E"/>
    <w:rsid w:val="00871689"/>
    <w:rsid w:val="00876356"/>
    <w:rsid w:val="008827ED"/>
    <w:rsid w:val="00882CD3"/>
    <w:rsid w:val="008831B1"/>
    <w:rsid w:val="00883E7D"/>
    <w:rsid w:val="00890DF6"/>
    <w:rsid w:val="008942D0"/>
    <w:rsid w:val="008943ED"/>
    <w:rsid w:val="008B31B3"/>
    <w:rsid w:val="008B5A88"/>
    <w:rsid w:val="008B769D"/>
    <w:rsid w:val="008C623E"/>
    <w:rsid w:val="008C7A19"/>
    <w:rsid w:val="008D01B0"/>
    <w:rsid w:val="008D399E"/>
    <w:rsid w:val="008D4ECE"/>
    <w:rsid w:val="008E0BA3"/>
    <w:rsid w:val="008F1F02"/>
    <w:rsid w:val="00901812"/>
    <w:rsid w:val="00917C51"/>
    <w:rsid w:val="0092010A"/>
    <w:rsid w:val="009224EE"/>
    <w:rsid w:val="009247DE"/>
    <w:rsid w:val="00925967"/>
    <w:rsid w:val="00964562"/>
    <w:rsid w:val="00964C32"/>
    <w:rsid w:val="009675A7"/>
    <w:rsid w:val="0097063A"/>
    <w:rsid w:val="00970EE1"/>
    <w:rsid w:val="00975DF9"/>
    <w:rsid w:val="009813D6"/>
    <w:rsid w:val="009909FA"/>
    <w:rsid w:val="009A1CA4"/>
    <w:rsid w:val="009A2249"/>
    <w:rsid w:val="009B0147"/>
    <w:rsid w:val="009B0D9E"/>
    <w:rsid w:val="009B1F07"/>
    <w:rsid w:val="009B5736"/>
    <w:rsid w:val="009C06D1"/>
    <w:rsid w:val="009D04BA"/>
    <w:rsid w:val="009D2930"/>
    <w:rsid w:val="009E5B4A"/>
    <w:rsid w:val="009F6B5F"/>
    <w:rsid w:val="00A147AA"/>
    <w:rsid w:val="00A16212"/>
    <w:rsid w:val="00A17E11"/>
    <w:rsid w:val="00A25BF7"/>
    <w:rsid w:val="00A32201"/>
    <w:rsid w:val="00A327F2"/>
    <w:rsid w:val="00A328B1"/>
    <w:rsid w:val="00A36A6B"/>
    <w:rsid w:val="00A405D7"/>
    <w:rsid w:val="00A40834"/>
    <w:rsid w:val="00A47251"/>
    <w:rsid w:val="00A533B7"/>
    <w:rsid w:val="00A53495"/>
    <w:rsid w:val="00A67445"/>
    <w:rsid w:val="00A779B6"/>
    <w:rsid w:val="00A8483C"/>
    <w:rsid w:val="00A8624D"/>
    <w:rsid w:val="00A90053"/>
    <w:rsid w:val="00A94AA8"/>
    <w:rsid w:val="00A97E9D"/>
    <w:rsid w:val="00AA625A"/>
    <w:rsid w:val="00AA63DD"/>
    <w:rsid w:val="00AB1F9A"/>
    <w:rsid w:val="00AC1D0B"/>
    <w:rsid w:val="00AC52AE"/>
    <w:rsid w:val="00AD0C07"/>
    <w:rsid w:val="00AD261D"/>
    <w:rsid w:val="00AD6C15"/>
    <w:rsid w:val="00AE0665"/>
    <w:rsid w:val="00AE347F"/>
    <w:rsid w:val="00AF1F64"/>
    <w:rsid w:val="00B07BD3"/>
    <w:rsid w:val="00B12FFC"/>
    <w:rsid w:val="00B15F8F"/>
    <w:rsid w:val="00B16ED4"/>
    <w:rsid w:val="00B200A7"/>
    <w:rsid w:val="00B22831"/>
    <w:rsid w:val="00B249A6"/>
    <w:rsid w:val="00B26432"/>
    <w:rsid w:val="00B26DCC"/>
    <w:rsid w:val="00B331FC"/>
    <w:rsid w:val="00B37086"/>
    <w:rsid w:val="00B37380"/>
    <w:rsid w:val="00B56FF1"/>
    <w:rsid w:val="00B576E1"/>
    <w:rsid w:val="00B57DAE"/>
    <w:rsid w:val="00B60BA7"/>
    <w:rsid w:val="00B63B92"/>
    <w:rsid w:val="00B7519A"/>
    <w:rsid w:val="00B8576C"/>
    <w:rsid w:val="00B86E37"/>
    <w:rsid w:val="00B87ED0"/>
    <w:rsid w:val="00B92F3D"/>
    <w:rsid w:val="00B9461D"/>
    <w:rsid w:val="00BA7B16"/>
    <w:rsid w:val="00BB36AA"/>
    <w:rsid w:val="00BC1676"/>
    <w:rsid w:val="00BD4F79"/>
    <w:rsid w:val="00BD5B8E"/>
    <w:rsid w:val="00BD5E57"/>
    <w:rsid w:val="00BE4EC3"/>
    <w:rsid w:val="00BF45D3"/>
    <w:rsid w:val="00C00FF9"/>
    <w:rsid w:val="00C0764F"/>
    <w:rsid w:val="00C134D0"/>
    <w:rsid w:val="00C1496D"/>
    <w:rsid w:val="00C17239"/>
    <w:rsid w:val="00C20B84"/>
    <w:rsid w:val="00C227B4"/>
    <w:rsid w:val="00C44A7A"/>
    <w:rsid w:val="00C4725D"/>
    <w:rsid w:val="00C55697"/>
    <w:rsid w:val="00C60895"/>
    <w:rsid w:val="00C672D1"/>
    <w:rsid w:val="00C74823"/>
    <w:rsid w:val="00C755AB"/>
    <w:rsid w:val="00C76FDC"/>
    <w:rsid w:val="00C81F76"/>
    <w:rsid w:val="00C86776"/>
    <w:rsid w:val="00C92542"/>
    <w:rsid w:val="00CA2125"/>
    <w:rsid w:val="00CA6B74"/>
    <w:rsid w:val="00CC5F29"/>
    <w:rsid w:val="00CC76D8"/>
    <w:rsid w:val="00CC77D1"/>
    <w:rsid w:val="00CC77E5"/>
    <w:rsid w:val="00CD3BD5"/>
    <w:rsid w:val="00CD6C94"/>
    <w:rsid w:val="00CE5B65"/>
    <w:rsid w:val="00CF136A"/>
    <w:rsid w:val="00D036D9"/>
    <w:rsid w:val="00D26B62"/>
    <w:rsid w:val="00D33BFC"/>
    <w:rsid w:val="00D40D15"/>
    <w:rsid w:val="00D40F43"/>
    <w:rsid w:val="00D653C4"/>
    <w:rsid w:val="00D717A9"/>
    <w:rsid w:val="00D749C3"/>
    <w:rsid w:val="00D74A9D"/>
    <w:rsid w:val="00D75DEE"/>
    <w:rsid w:val="00D8110F"/>
    <w:rsid w:val="00D84976"/>
    <w:rsid w:val="00D85C17"/>
    <w:rsid w:val="00D878FE"/>
    <w:rsid w:val="00D9183E"/>
    <w:rsid w:val="00D94DF6"/>
    <w:rsid w:val="00D96569"/>
    <w:rsid w:val="00DA062F"/>
    <w:rsid w:val="00DB53B1"/>
    <w:rsid w:val="00DB603A"/>
    <w:rsid w:val="00DB7215"/>
    <w:rsid w:val="00DC1B14"/>
    <w:rsid w:val="00DC389C"/>
    <w:rsid w:val="00DC5687"/>
    <w:rsid w:val="00DD72E6"/>
    <w:rsid w:val="00DF19CD"/>
    <w:rsid w:val="00E00189"/>
    <w:rsid w:val="00E10322"/>
    <w:rsid w:val="00E20183"/>
    <w:rsid w:val="00E4639F"/>
    <w:rsid w:val="00E54043"/>
    <w:rsid w:val="00E54C82"/>
    <w:rsid w:val="00E60579"/>
    <w:rsid w:val="00E727DF"/>
    <w:rsid w:val="00E7752E"/>
    <w:rsid w:val="00E87306"/>
    <w:rsid w:val="00E913E0"/>
    <w:rsid w:val="00E92CC7"/>
    <w:rsid w:val="00EA4DF0"/>
    <w:rsid w:val="00ED0CC4"/>
    <w:rsid w:val="00EE26C1"/>
    <w:rsid w:val="00EE2CD4"/>
    <w:rsid w:val="00EE3BEE"/>
    <w:rsid w:val="00EE7676"/>
    <w:rsid w:val="00F023FF"/>
    <w:rsid w:val="00F03133"/>
    <w:rsid w:val="00F0380E"/>
    <w:rsid w:val="00F04990"/>
    <w:rsid w:val="00F10F68"/>
    <w:rsid w:val="00F148BC"/>
    <w:rsid w:val="00F151E6"/>
    <w:rsid w:val="00F205C0"/>
    <w:rsid w:val="00F21FDE"/>
    <w:rsid w:val="00F251EB"/>
    <w:rsid w:val="00F33610"/>
    <w:rsid w:val="00F4133E"/>
    <w:rsid w:val="00F555F1"/>
    <w:rsid w:val="00F70EC2"/>
    <w:rsid w:val="00F81C85"/>
    <w:rsid w:val="00F82084"/>
    <w:rsid w:val="00F92088"/>
    <w:rsid w:val="00FA350A"/>
    <w:rsid w:val="00FA7278"/>
    <w:rsid w:val="00FC1060"/>
    <w:rsid w:val="00FD6763"/>
    <w:rsid w:val="00FE0FB2"/>
    <w:rsid w:val="00FF5937"/>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4659-05F6-4F60-8823-BDD7195B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10</TotalTime>
  <Pages>9</Pages>
  <Words>2851</Words>
  <Characters>15284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18099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4</cp:revision>
  <cp:lastPrinted>2018-07-26T21:17:00Z</cp:lastPrinted>
  <dcterms:created xsi:type="dcterms:W3CDTF">2018-07-27T19:04:00Z</dcterms:created>
  <dcterms:modified xsi:type="dcterms:W3CDTF">2018-07-31T19:08:00Z</dcterms:modified>
</cp:coreProperties>
</file>