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5" w:rsidRPr="008A1AE3" w:rsidRDefault="00C85665" w:rsidP="003E3736">
      <w:pPr>
        <w:pStyle w:val="Signature"/>
      </w:pPr>
    </w:p>
    <w:p w:rsidR="0006541E" w:rsidRPr="006B0515" w:rsidRDefault="008B2DC7" w:rsidP="0006541E">
      <w:pPr>
        <w:pStyle w:val="Signature"/>
      </w:pPr>
      <w:r>
        <w:t>December 31</w:t>
      </w:r>
      <w:r w:rsidR="00541593" w:rsidRPr="006B0515">
        <w:t>, 2019</w:t>
      </w:r>
    </w:p>
    <w:p w:rsidR="003E3736" w:rsidRPr="006B0515" w:rsidRDefault="003E3736" w:rsidP="008E19CC">
      <w:pPr>
        <w:pStyle w:val="Signature"/>
      </w:pPr>
    </w:p>
    <w:p w:rsidR="003D0D5F" w:rsidRPr="006B0515" w:rsidRDefault="003D0D5F" w:rsidP="003D0D5F">
      <w:pPr>
        <w:pStyle w:val="Signature"/>
      </w:pPr>
      <w:r w:rsidRPr="006B0515">
        <w:t>Darrell R. Wil</w:t>
      </w:r>
      <w:r w:rsidR="002731B2">
        <w:t>l</w:t>
      </w:r>
      <w:r w:rsidRPr="006B0515">
        <w:t>son</w:t>
      </w:r>
    </w:p>
    <w:p w:rsidR="003E3736" w:rsidRPr="006B0515" w:rsidRDefault="003D0D5F" w:rsidP="003D0D5F">
      <w:pPr>
        <w:pStyle w:val="Signature"/>
      </w:pPr>
      <w:r w:rsidRPr="006B0515">
        <w:t>Administrator</w:t>
      </w:r>
    </w:p>
    <w:p w:rsidR="003E3736" w:rsidRPr="006B0515" w:rsidRDefault="00237B87" w:rsidP="008E19CC">
      <w:pPr>
        <w:pStyle w:val="Signature"/>
      </w:pPr>
      <w:r w:rsidRPr="006B0515">
        <w:t>National Gallery of Art</w:t>
      </w:r>
    </w:p>
    <w:p w:rsidR="009A6285" w:rsidRPr="006B0515" w:rsidRDefault="00237B87" w:rsidP="008E19CC">
      <w:pPr>
        <w:pStyle w:val="Signature"/>
      </w:pPr>
      <w:r w:rsidRPr="006B0515">
        <w:t>2000-B South Club Drive</w:t>
      </w:r>
    </w:p>
    <w:p w:rsidR="003E3736" w:rsidRPr="006B0515" w:rsidRDefault="00237B87" w:rsidP="008E19CC">
      <w:pPr>
        <w:pStyle w:val="Signature"/>
      </w:pPr>
      <w:r w:rsidRPr="006B0515">
        <w:t>Landover, MD</w:t>
      </w:r>
      <w:r w:rsidR="009A6285" w:rsidRPr="006B0515">
        <w:t xml:space="preserve"> </w:t>
      </w:r>
      <w:r w:rsidRPr="006B0515">
        <w:t>20785</w:t>
      </w:r>
    </w:p>
    <w:p w:rsidR="003E3736" w:rsidRPr="006B0515" w:rsidRDefault="003E3736" w:rsidP="008E19CC">
      <w:pPr>
        <w:pStyle w:val="Signature"/>
      </w:pPr>
    </w:p>
    <w:p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Permit Nos. 7241 thru 7243 to Operate Three (3) Non-Auto Body Paint Spray Booth</w:t>
      </w:r>
      <w:r w:rsidR="00DF3A86" w:rsidRPr="006B0515">
        <w:rPr>
          <w:b/>
          <w:bCs/>
        </w:rPr>
        <w:t>s</w:t>
      </w:r>
    </w:p>
    <w:p w:rsidR="003E3736" w:rsidRPr="006B0515" w:rsidRDefault="003E3736" w:rsidP="008E19CC">
      <w:pPr>
        <w:pStyle w:val="Signature"/>
      </w:pPr>
    </w:p>
    <w:p w:rsidR="003E3736" w:rsidRPr="006B0515" w:rsidRDefault="00577177" w:rsidP="008E19CC">
      <w:pPr>
        <w:pStyle w:val="Signature"/>
      </w:pPr>
      <w:r w:rsidRPr="006B0515">
        <w:t xml:space="preserve">Dear Mr. </w:t>
      </w:r>
      <w:r w:rsidR="0039080A" w:rsidRPr="006B0515">
        <w:t>Wi</w:t>
      </w:r>
      <w:r w:rsidR="002731B2">
        <w:t>l</w:t>
      </w:r>
      <w:r w:rsidR="0039080A" w:rsidRPr="006B0515">
        <w:t>lson</w:t>
      </w:r>
      <w:r w:rsidR="003E3736" w:rsidRPr="006B0515">
        <w:t>:</w:t>
      </w:r>
    </w:p>
    <w:p w:rsidR="003E3736" w:rsidRPr="006B0515" w:rsidRDefault="003E3736" w:rsidP="008E19CC">
      <w:pPr>
        <w:pStyle w:val="Signature"/>
      </w:pPr>
    </w:p>
    <w:p w:rsidR="002731B2"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w:t>
      </w:r>
      <w:r w:rsidR="002731B2">
        <w:t>s</w:t>
      </w:r>
      <w:r w:rsidR="009A6285" w:rsidRPr="006B0515">
        <w:t xml:space="preserve"> o</w:t>
      </w:r>
      <w:r w:rsidR="006268E7" w:rsidRPr="006B0515">
        <w:t xml:space="preserve">f the </w:t>
      </w:r>
      <w:r w:rsidR="003C0F18" w:rsidRPr="006B0515">
        <w:t>National Gallery of Art</w:t>
      </w:r>
      <w:r w:rsidR="006268E7" w:rsidRPr="006B0515">
        <w:t>,</w:t>
      </w:r>
      <w:r w:rsidR="00702D1F" w:rsidRPr="006B0515">
        <w:t xml:space="preserve"> (“the Permittee”)</w:t>
      </w:r>
      <w:r w:rsidR="003E3736" w:rsidRPr="006B0515">
        <w:t xml:space="preserve"> </w:t>
      </w:r>
      <w:r w:rsidR="008E19CC" w:rsidRPr="006B0515">
        <w:t>for permit</w:t>
      </w:r>
      <w:r w:rsidR="002731B2">
        <w:t>s</w:t>
      </w:r>
      <w:r w:rsidR="008E19CC" w:rsidRPr="006B0515">
        <w:t xml:space="preserve"> </w:t>
      </w:r>
      <w:r w:rsidR="007F16E1" w:rsidRPr="006B0515">
        <w:t>to</w:t>
      </w:r>
      <w:r w:rsidR="00CB009E" w:rsidRPr="006B0515">
        <w:t xml:space="preserve"> </w:t>
      </w:r>
      <w:r w:rsidR="008E19CC" w:rsidRPr="006B0515">
        <w:t xml:space="preserve">operate </w:t>
      </w:r>
      <w:r w:rsidR="002731B2">
        <w:t xml:space="preserve">the following </w:t>
      </w:r>
      <w:r w:rsidR="003C0F18" w:rsidRPr="006B0515">
        <w:t xml:space="preserve">three (3) Non-Auto Body Paint Spray Booths </w:t>
      </w:r>
      <w:r w:rsidR="003E3736" w:rsidRPr="006B0515">
        <w:t xml:space="preserve">at </w:t>
      </w:r>
      <w:r w:rsidR="00CB009E" w:rsidRPr="006B0515">
        <w:t xml:space="preserve">the </w:t>
      </w:r>
      <w:r w:rsidR="003C0F18" w:rsidRPr="006B0515">
        <w:t>National Gallery of Art</w:t>
      </w:r>
      <w:r w:rsidR="002338A8" w:rsidRPr="006B0515">
        <w:t xml:space="preserve">, located at </w:t>
      </w:r>
      <w:r w:rsidR="003C0F18" w:rsidRPr="006B0515">
        <w:t>4th Street and Constitution Avenue NW</w:t>
      </w:r>
      <w:r w:rsidR="003E3736" w:rsidRPr="006B0515">
        <w:t>, Washington, DC</w:t>
      </w:r>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r w:rsidR="003C0F18" w:rsidRPr="006B0515">
        <w:t>January 5, 2018</w:t>
      </w:r>
      <w:r w:rsidR="00E02D9F" w:rsidRPr="006B0515">
        <w:t>, as revised by the subsequent June 28, 2019 submittal</w:t>
      </w:r>
      <w:r w:rsidR="003E3736" w:rsidRPr="006B0515">
        <w:t xml:space="preserve">, </w:t>
      </w:r>
      <w:r w:rsidR="002731B2">
        <w:t>have been reviewed.</w:t>
      </w:r>
    </w:p>
    <w:p w:rsidR="002731B2" w:rsidRDefault="002731B2" w:rsidP="008E19CC">
      <w:pPr>
        <w:pStyle w:val="Signature"/>
      </w:pPr>
    </w:p>
    <w:tbl>
      <w:tblPr>
        <w:tblStyle w:val="TableGrid"/>
        <w:tblW w:w="0" w:type="auto"/>
        <w:tblInd w:w="108" w:type="dxa"/>
        <w:tblLook w:val="04A0" w:firstRow="1" w:lastRow="0" w:firstColumn="1" w:lastColumn="0" w:noHBand="0" w:noVBand="1"/>
      </w:tblPr>
      <w:tblGrid>
        <w:gridCol w:w="3240"/>
        <w:gridCol w:w="4950"/>
        <w:gridCol w:w="1278"/>
      </w:tblGrid>
      <w:tr w:rsidR="007E6B87" w:rsidTr="007E6B87">
        <w:tc>
          <w:tcPr>
            <w:tcW w:w="3240" w:type="dxa"/>
          </w:tcPr>
          <w:p w:rsidR="007E6B87" w:rsidRPr="007E6B87" w:rsidRDefault="007E6B87" w:rsidP="008E19CC">
            <w:pPr>
              <w:pStyle w:val="Signature"/>
              <w:rPr>
                <w:b/>
              </w:rPr>
            </w:pPr>
            <w:r w:rsidRPr="007E6B87">
              <w:rPr>
                <w:b/>
              </w:rPr>
              <w:t>Location</w:t>
            </w:r>
          </w:p>
        </w:tc>
        <w:tc>
          <w:tcPr>
            <w:tcW w:w="4950" w:type="dxa"/>
          </w:tcPr>
          <w:p w:rsidR="007E6B87" w:rsidRPr="007E6B87" w:rsidRDefault="007E6B87" w:rsidP="008E19CC">
            <w:pPr>
              <w:pStyle w:val="Signature"/>
              <w:rPr>
                <w:b/>
              </w:rPr>
            </w:pPr>
            <w:r w:rsidRPr="007E6B87">
              <w:rPr>
                <w:b/>
              </w:rPr>
              <w:t>Description</w:t>
            </w:r>
          </w:p>
        </w:tc>
        <w:tc>
          <w:tcPr>
            <w:tcW w:w="1278" w:type="dxa"/>
          </w:tcPr>
          <w:p w:rsidR="007E6B87" w:rsidRPr="007E6B87" w:rsidRDefault="007E6B87" w:rsidP="008E19CC">
            <w:pPr>
              <w:pStyle w:val="Signature"/>
              <w:rPr>
                <w:b/>
              </w:rPr>
            </w:pPr>
            <w:r w:rsidRPr="007E6B87">
              <w:rPr>
                <w:b/>
              </w:rPr>
              <w:t>Permit Number</w:t>
            </w:r>
          </w:p>
        </w:tc>
      </w:tr>
      <w:tr w:rsidR="007E6B87" w:rsidTr="007E6B87">
        <w:tc>
          <w:tcPr>
            <w:tcW w:w="3240" w:type="dxa"/>
          </w:tcPr>
          <w:p w:rsidR="007E6B87" w:rsidRDefault="007E6B87" w:rsidP="008E19CC">
            <w:pPr>
              <w:pStyle w:val="Signature"/>
            </w:pPr>
            <w:r>
              <w:t>National Gallery of Art – West Building, Room CLB-37</w:t>
            </w:r>
          </w:p>
        </w:tc>
        <w:tc>
          <w:tcPr>
            <w:tcW w:w="4950" w:type="dxa"/>
          </w:tcPr>
          <w:p w:rsidR="007E6B87" w:rsidRDefault="007E6B87" w:rsidP="008E19CC">
            <w:pPr>
              <w:pStyle w:val="Signature"/>
            </w:pPr>
            <w:r>
              <w:t>Global Finishing Solutions Model IDBG-080806-NF-S Industrial Open Face Booth</w:t>
            </w:r>
          </w:p>
        </w:tc>
        <w:tc>
          <w:tcPr>
            <w:tcW w:w="1278" w:type="dxa"/>
          </w:tcPr>
          <w:p w:rsidR="007E6B87" w:rsidRDefault="007E6B87" w:rsidP="008E19CC">
            <w:pPr>
              <w:pStyle w:val="Signature"/>
            </w:pPr>
            <w:r>
              <w:t>7241</w:t>
            </w:r>
          </w:p>
        </w:tc>
      </w:tr>
      <w:tr w:rsidR="007E6B87" w:rsidTr="007E6B87">
        <w:tc>
          <w:tcPr>
            <w:tcW w:w="3240" w:type="dxa"/>
          </w:tcPr>
          <w:p w:rsidR="007E6B87" w:rsidRDefault="007E6B87" w:rsidP="007E6B87">
            <w:r w:rsidRPr="007429C2">
              <w:t xml:space="preserve">National Gallery of Art – West Building, Room </w:t>
            </w:r>
            <w:r>
              <w:t>G-15</w:t>
            </w:r>
            <w:r w:rsidR="00850CD9">
              <w:t>8A</w:t>
            </w:r>
          </w:p>
        </w:tc>
        <w:tc>
          <w:tcPr>
            <w:tcW w:w="4950" w:type="dxa"/>
          </w:tcPr>
          <w:p w:rsidR="007E6B87" w:rsidRDefault="007E6B87" w:rsidP="008E19CC">
            <w:pPr>
              <w:pStyle w:val="Signature"/>
            </w:pPr>
            <w:proofErr w:type="spellStart"/>
            <w:r>
              <w:t>Paasche</w:t>
            </w:r>
            <w:proofErr w:type="spellEnd"/>
            <w:r>
              <w:t xml:space="preserve"> Airbrush Co. Model FABF Surface Mounted Booth</w:t>
            </w:r>
          </w:p>
        </w:tc>
        <w:tc>
          <w:tcPr>
            <w:tcW w:w="1278" w:type="dxa"/>
          </w:tcPr>
          <w:p w:rsidR="007E6B87" w:rsidRDefault="007E6B87" w:rsidP="008E19CC">
            <w:pPr>
              <w:pStyle w:val="Signature"/>
            </w:pPr>
            <w:r>
              <w:t>7242</w:t>
            </w:r>
          </w:p>
        </w:tc>
      </w:tr>
      <w:tr w:rsidR="007E6B87" w:rsidTr="007E6B87">
        <w:tc>
          <w:tcPr>
            <w:tcW w:w="3240" w:type="dxa"/>
          </w:tcPr>
          <w:p w:rsidR="007E6B87" w:rsidRDefault="007E6B87" w:rsidP="007E6B87">
            <w:r w:rsidRPr="007429C2">
              <w:t xml:space="preserve">National Gallery of Art – West Building, Room </w:t>
            </w:r>
            <w:r>
              <w:t>G-115</w:t>
            </w:r>
          </w:p>
        </w:tc>
        <w:tc>
          <w:tcPr>
            <w:tcW w:w="4950" w:type="dxa"/>
          </w:tcPr>
          <w:p w:rsidR="007E6B87" w:rsidRDefault="007E6B87" w:rsidP="008E19CC">
            <w:pPr>
              <w:pStyle w:val="Signature"/>
            </w:pPr>
            <w:proofErr w:type="spellStart"/>
            <w:r>
              <w:t>Grapek</w:t>
            </w:r>
            <w:proofErr w:type="spellEnd"/>
            <w:r>
              <w:t xml:space="preserve"> Custom Industrial Booth Model 1-10104</w:t>
            </w:r>
          </w:p>
        </w:tc>
        <w:tc>
          <w:tcPr>
            <w:tcW w:w="1278" w:type="dxa"/>
          </w:tcPr>
          <w:p w:rsidR="007E6B87" w:rsidRDefault="007E6B87" w:rsidP="008E19CC">
            <w:pPr>
              <w:pStyle w:val="Signature"/>
            </w:pPr>
            <w:r>
              <w:t>7243</w:t>
            </w:r>
          </w:p>
        </w:tc>
      </w:tr>
    </w:tbl>
    <w:p w:rsidR="002731B2" w:rsidRDefault="002731B2" w:rsidP="008E19CC">
      <w:pPr>
        <w:pStyle w:val="Signature"/>
      </w:pPr>
    </w:p>
    <w:p w:rsidR="003E3736" w:rsidRPr="006B0515" w:rsidRDefault="002731B2" w:rsidP="008E19CC">
      <w:pPr>
        <w:pStyle w:val="Signature"/>
      </w:pPr>
      <w:r>
        <w:t xml:space="preserve">Based on the plans and specifications as detailed in the aforementioned air permit applications, the applications are hereby approved, and operation of the paint booths is permitted, </w:t>
      </w:r>
      <w:r w:rsidR="003E3736" w:rsidRPr="006B0515">
        <w:t>subject to the following conditions:</w:t>
      </w:r>
    </w:p>
    <w:p w:rsidR="003E3736" w:rsidRPr="006B0515" w:rsidRDefault="003E3736" w:rsidP="008E19CC">
      <w:pPr>
        <w:pStyle w:val="Signature"/>
      </w:pPr>
    </w:p>
    <w:p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rsidR="003E3736" w:rsidRPr="006B0515" w:rsidRDefault="003E3736" w:rsidP="008E19CC">
      <w:pPr>
        <w:ind w:left="360" w:hanging="360"/>
      </w:pPr>
    </w:p>
    <w:p w:rsidR="003E3736" w:rsidRPr="006B0515" w:rsidRDefault="003E3736" w:rsidP="008E19CC">
      <w:pPr>
        <w:ind w:left="720" w:hanging="360"/>
      </w:pPr>
      <w:r w:rsidRPr="006B0515">
        <w:t>a.</w:t>
      </w:r>
      <w:r w:rsidRPr="006B0515">
        <w:tab/>
        <w:t>The paint booth</w:t>
      </w:r>
      <w:r w:rsidR="003C0F18" w:rsidRPr="006B0515">
        <w:t>s</w:t>
      </w:r>
      <w:r w:rsidRPr="006B0515">
        <w:t xml:space="preserve"> shall be maintained and operated in accordance with the air pollution control requirements of 20 DCMR.</w:t>
      </w:r>
    </w:p>
    <w:p w:rsidR="003E3736" w:rsidRPr="006B0515" w:rsidRDefault="003E3736" w:rsidP="008E19CC">
      <w:pPr>
        <w:ind w:left="720" w:hanging="360"/>
      </w:pPr>
    </w:p>
    <w:p w:rsidR="001361E1" w:rsidRPr="006B0515" w:rsidRDefault="003E3736" w:rsidP="008E19CC">
      <w:pPr>
        <w:ind w:left="720" w:hanging="360"/>
      </w:pPr>
      <w:r w:rsidRPr="006B0515">
        <w:t>b.</w:t>
      </w:r>
      <w:r w:rsidRPr="006B0515">
        <w:tab/>
      </w:r>
      <w:r w:rsidR="0006541E" w:rsidRPr="006B0515">
        <w:t xml:space="preserve">This </w:t>
      </w:r>
      <w:r w:rsidR="002731B2">
        <w:t xml:space="preserve">set of </w:t>
      </w:r>
      <w:r w:rsidR="0006541E" w:rsidRPr="006B0515">
        <w:t>permit</w:t>
      </w:r>
      <w:r w:rsidR="002731B2">
        <w:t>s</w:t>
      </w:r>
      <w:r w:rsidR="0006541E" w:rsidRPr="006B0515">
        <w:t xml:space="preserve"> expires on </w:t>
      </w:r>
      <w:r w:rsidR="002731B2">
        <w:t>December 30, 2024</w:t>
      </w:r>
      <w:r w:rsidR="0006541E" w:rsidRPr="006B0515">
        <w:t xml:space="preserve"> [20 DCMR 200.4].  If continued operation after this date is desired, the owner or operator shall submit an application for renewal by </w:t>
      </w:r>
      <w:r w:rsidR="002731B2">
        <w:t>September 30, 2024</w:t>
      </w:r>
      <w:r w:rsidR="0006541E" w:rsidRPr="006B0515">
        <w:t>.</w:t>
      </w:r>
    </w:p>
    <w:p w:rsidR="003E3736" w:rsidRPr="006B0515" w:rsidRDefault="003E3736" w:rsidP="008E19CC">
      <w:pPr>
        <w:ind w:left="720" w:hanging="360"/>
      </w:pPr>
    </w:p>
    <w:p w:rsidR="003E3736" w:rsidRPr="006B0515" w:rsidRDefault="003E3736" w:rsidP="008E19CC">
      <w:pPr>
        <w:ind w:left="720" w:hanging="360"/>
      </w:pPr>
      <w:r w:rsidRPr="006B0515">
        <w:lastRenderedPageBreak/>
        <w:t>c.</w:t>
      </w:r>
      <w:r w:rsidRPr="006B0515">
        <w:tab/>
      </w:r>
      <w:r w:rsidR="003C0F18" w:rsidRPr="006B0515">
        <w:t>O</w:t>
      </w:r>
      <w:r w:rsidRPr="006B0515">
        <w:t xml:space="preserve">peration of equipment under the authority of this </w:t>
      </w:r>
      <w:r w:rsidR="002731B2">
        <w:t xml:space="preserve">set of </w:t>
      </w:r>
      <w:r w:rsidRPr="006B0515">
        <w:t>permit</w:t>
      </w:r>
      <w:r w:rsidR="002731B2">
        <w:t>s</w:t>
      </w:r>
      <w:r w:rsidRPr="006B0515">
        <w:t xml:space="preserve"> shall be considered acceptance of its terms and conditions.</w:t>
      </w:r>
    </w:p>
    <w:p w:rsidR="003E3736" w:rsidRPr="006B0515" w:rsidRDefault="003E3736" w:rsidP="008E19CC">
      <w:pPr>
        <w:ind w:left="720" w:hanging="360"/>
      </w:pPr>
    </w:p>
    <w:p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rsidR="00335EAB" w:rsidRPr="006B0515" w:rsidRDefault="00335EAB" w:rsidP="008E19CC">
      <w:pPr>
        <w:ind w:left="1080" w:hanging="360"/>
      </w:pPr>
    </w:p>
    <w:p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rsidR="002356B3" w:rsidRPr="006B0515" w:rsidRDefault="002356B3" w:rsidP="008E19CC">
      <w:pPr>
        <w:ind w:left="1080" w:hanging="360"/>
      </w:pPr>
    </w:p>
    <w:p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rsidR="0037584C" w:rsidRPr="006B0515" w:rsidRDefault="0037584C" w:rsidP="008E19CC">
      <w:pPr>
        <w:tabs>
          <w:tab w:val="left" w:pos="-1440"/>
          <w:tab w:val="left" w:pos="-720"/>
          <w:tab w:val="left" w:pos="1080"/>
        </w:tabs>
        <w:ind w:left="1080" w:hanging="360"/>
      </w:pPr>
    </w:p>
    <w:p w:rsidR="003E3736" w:rsidRPr="006B0515" w:rsidRDefault="003E3736" w:rsidP="008E19CC">
      <w:pPr>
        <w:tabs>
          <w:tab w:val="left" w:pos="-1440"/>
          <w:tab w:val="left" w:pos="-720"/>
          <w:tab w:val="left" w:pos="1080"/>
        </w:tabs>
        <w:ind w:left="1080" w:hanging="360"/>
      </w:pPr>
      <w:r w:rsidRPr="006B0515">
        <w:t>3.</w:t>
      </w:r>
      <w:r w:rsidRPr="006B0515">
        <w:tab/>
        <w:t>Inspect, at reasonable times, any facilities, equipment (including monitoring and air pollution control equipment), practices, or operations regulated or required under this permit; and</w:t>
      </w:r>
    </w:p>
    <w:p w:rsidR="003E3736" w:rsidRPr="006B0515" w:rsidRDefault="003E3736" w:rsidP="008E19CC">
      <w:pPr>
        <w:tabs>
          <w:tab w:val="left" w:pos="-1440"/>
          <w:tab w:val="left" w:pos="-720"/>
          <w:tab w:val="left" w:pos="1080"/>
        </w:tabs>
        <w:ind w:left="1080" w:hanging="360"/>
      </w:pPr>
    </w:p>
    <w:p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rsidR="003E3736" w:rsidRPr="006B0515" w:rsidRDefault="003E3736" w:rsidP="008E19CC">
      <w:pPr>
        <w:ind w:left="720" w:hanging="360"/>
      </w:pPr>
    </w:p>
    <w:p w:rsidR="003E3736" w:rsidRPr="006B0515" w:rsidRDefault="003E3736" w:rsidP="008E19CC">
      <w:pPr>
        <w:ind w:left="720" w:hanging="360"/>
      </w:pPr>
      <w:r w:rsidRPr="006B0515">
        <w:t>e.</w:t>
      </w:r>
      <w:r w:rsidRPr="006B0515">
        <w:tab/>
        <w:t>This permit shall be kept on the premises and produced upon request.</w:t>
      </w:r>
    </w:p>
    <w:p w:rsidR="003E3736" w:rsidRPr="006B0515" w:rsidRDefault="003E3736" w:rsidP="008E19CC">
      <w:pPr>
        <w:ind w:left="720" w:hanging="360"/>
      </w:pPr>
    </w:p>
    <w:p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rsidR="003E3736" w:rsidRPr="006B0515" w:rsidRDefault="003E3736" w:rsidP="008E19CC">
      <w:pPr>
        <w:pStyle w:val="Signature"/>
      </w:pPr>
    </w:p>
    <w:p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rsidR="003E3736" w:rsidRPr="006B0515" w:rsidRDefault="003E3736" w:rsidP="008E19CC">
      <w:pPr>
        <w:pStyle w:val="Signature"/>
        <w:tabs>
          <w:tab w:val="num" w:pos="360"/>
        </w:tabs>
        <w:ind w:left="360" w:hanging="360"/>
      </w:pPr>
    </w:p>
    <w:p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rsidR="003E3736" w:rsidRPr="006B0515" w:rsidRDefault="003E3736" w:rsidP="008E19CC">
      <w:pPr>
        <w:pStyle w:val="Signature"/>
        <w:tabs>
          <w:tab w:val="num" w:pos="720"/>
        </w:tabs>
        <w:ind w:left="720" w:hanging="360"/>
      </w:pPr>
    </w:p>
    <w:p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3E3736" w:rsidRPr="006B0515" w:rsidRDefault="003E3736" w:rsidP="008E19CC">
      <w:pPr>
        <w:pStyle w:val="Signature"/>
        <w:ind w:left="720" w:hanging="360"/>
      </w:pPr>
    </w:p>
    <w:p w:rsidR="00B063AC" w:rsidRPr="006B0515" w:rsidRDefault="000D1A27" w:rsidP="008E19CC">
      <w:pPr>
        <w:pStyle w:val="Signature"/>
        <w:ind w:left="720" w:hanging="360"/>
      </w:pPr>
      <w:r w:rsidRPr="006B0515">
        <w:t>c</w:t>
      </w:r>
      <w:r w:rsidR="003E3736" w:rsidRPr="006B0515">
        <w:t>.</w:t>
      </w:r>
      <w:r w:rsidR="003E3736" w:rsidRPr="006B0515">
        <w:tab/>
        <w:t>Visible emissions shall not be emitted into the outdoor atmosphere from the paint spray booth</w:t>
      </w:r>
      <w:r w:rsidR="003C0F18" w:rsidRPr="006B0515">
        <w:t>s</w:t>
      </w:r>
      <w:r w:rsidR="003E3736" w:rsidRPr="006B0515">
        <w:t xml:space="preserve">. [20 DCMR </w:t>
      </w:r>
      <w:r w:rsidR="004C5FD4" w:rsidRPr="006B0515">
        <w:t>107</w:t>
      </w:r>
      <w:r w:rsidR="003E3736" w:rsidRPr="006B0515">
        <w:t xml:space="preserve"> and </w:t>
      </w:r>
      <w:r w:rsidR="004C5FD4" w:rsidRPr="006B0515">
        <w:t>606</w:t>
      </w:r>
      <w:r w:rsidR="003E3736" w:rsidRPr="006B0515">
        <w:t>]</w:t>
      </w:r>
    </w:p>
    <w:p w:rsidR="00B063AC" w:rsidRPr="006B0515" w:rsidRDefault="00B063AC" w:rsidP="008E19CC">
      <w:pPr>
        <w:pStyle w:val="Signature"/>
        <w:tabs>
          <w:tab w:val="num" w:pos="360"/>
        </w:tabs>
        <w:ind w:left="360" w:hanging="360"/>
      </w:pPr>
    </w:p>
    <w:p w:rsidR="00A1080A" w:rsidRDefault="00A1080A">
      <w:r>
        <w:br w:type="page"/>
      </w:r>
    </w:p>
    <w:p w:rsidR="003E3736" w:rsidRPr="006B0515" w:rsidRDefault="003E3736" w:rsidP="008E19CC">
      <w:pPr>
        <w:pStyle w:val="Signature"/>
        <w:tabs>
          <w:tab w:val="num" w:pos="360"/>
        </w:tabs>
        <w:ind w:left="360" w:hanging="360"/>
      </w:pPr>
      <w:r w:rsidRPr="006B0515">
        <w:lastRenderedPageBreak/>
        <w:t>III.</w:t>
      </w:r>
      <w:r w:rsidRPr="006B0515">
        <w:tab/>
      </w:r>
      <w:r w:rsidRPr="006B0515">
        <w:rPr>
          <w:u w:val="single"/>
        </w:rPr>
        <w:t>Operational Limits and Standards</w:t>
      </w:r>
      <w:r w:rsidRPr="006B0515">
        <w:t>:</w:t>
      </w:r>
    </w:p>
    <w:p w:rsidR="003E3736" w:rsidRPr="006B0515" w:rsidRDefault="003E3736" w:rsidP="008E19CC">
      <w:pPr>
        <w:pStyle w:val="Signature"/>
        <w:tabs>
          <w:tab w:val="num" w:pos="360"/>
        </w:tabs>
        <w:ind w:left="360" w:hanging="360"/>
      </w:pPr>
    </w:p>
    <w:p w:rsidR="00C21D83" w:rsidRPr="006B0515" w:rsidRDefault="00C62DAF" w:rsidP="00AF5EFF">
      <w:pPr>
        <w:pStyle w:val="Signature"/>
        <w:tabs>
          <w:tab w:val="num" w:pos="720"/>
        </w:tabs>
        <w:ind w:left="720" w:hanging="360"/>
      </w:pPr>
      <w:r w:rsidRPr="006B0515">
        <w:t>a.</w:t>
      </w:r>
      <w:r w:rsidRPr="006B0515">
        <w:tab/>
      </w:r>
      <w:r w:rsidR="00C21D83" w:rsidRPr="00231F3F">
        <w:t xml:space="preserve">Each paint stripping operation </w:t>
      </w:r>
      <w:r w:rsidR="00541593" w:rsidRPr="006B0515">
        <w:t>shall</w:t>
      </w:r>
      <w:r w:rsidR="00C21D83" w:rsidRPr="00231F3F">
        <w:t xml:space="preserve"> implement management practices to minimize the evaporative emissions of </w:t>
      </w:r>
      <w:r w:rsidR="00AF5EFF" w:rsidRPr="006B0515">
        <w:t>methylene chloride (</w:t>
      </w:r>
      <w:r w:rsidR="00C21D83" w:rsidRPr="00231F3F">
        <w:t>MeCl</w:t>
      </w:r>
      <w:r w:rsidR="00AF5EFF" w:rsidRPr="006B0515">
        <w:t>)</w:t>
      </w:r>
      <w:r w:rsidR="00C21D83" w:rsidRPr="00231F3F">
        <w:t xml:space="preserve">. The management practices </w:t>
      </w:r>
      <w:r w:rsidR="00541593" w:rsidRPr="006B0515">
        <w:t>shall</w:t>
      </w:r>
      <w:r w:rsidR="00C21D83" w:rsidRPr="00231F3F">
        <w:t xml:space="preserve"> address, at a minimum, the practices in paragraphs (a</w:t>
      </w:r>
      <w:proofErr w:type="gramStart"/>
      <w:r w:rsidR="00C21D83" w:rsidRPr="00231F3F">
        <w:t>)(</w:t>
      </w:r>
      <w:proofErr w:type="gramEnd"/>
      <w:r w:rsidR="00C21D83" w:rsidRPr="00231F3F">
        <w:t xml:space="preserve">1) through (5) of this section, as applicable, for </w:t>
      </w:r>
      <w:r w:rsidR="00A1080A">
        <w:t xml:space="preserve">the </w:t>
      </w:r>
      <w:proofErr w:type="spellStart"/>
      <w:r w:rsidR="00A1080A">
        <w:t>Permittee’s</w:t>
      </w:r>
      <w:proofErr w:type="spellEnd"/>
      <w:r w:rsidR="00C21D83" w:rsidRPr="00231F3F">
        <w:t xml:space="preserve"> operations.</w:t>
      </w:r>
      <w:r w:rsidR="00AF5EFF" w:rsidRPr="006B0515">
        <w:t xml:space="preserve"> [40 CFR 63.11173(a)]</w:t>
      </w:r>
    </w:p>
    <w:p w:rsidR="00AF5EFF" w:rsidRPr="00231F3F" w:rsidRDefault="00AF5EFF" w:rsidP="00AF5EFF">
      <w:pPr>
        <w:pStyle w:val="Signature"/>
        <w:tabs>
          <w:tab w:val="num" w:pos="720"/>
        </w:tabs>
        <w:ind w:left="720" w:hanging="360"/>
      </w:pPr>
    </w:p>
    <w:p w:rsidR="00C21D83" w:rsidRPr="006B0515" w:rsidRDefault="00C21D83" w:rsidP="00AF5EFF">
      <w:pPr>
        <w:ind w:left="1080" w:hanging="360"/>
      </w:pPr>
      <w:r w:rsidRPr="006B0515">
        <w:t>1</w:t>
      </w:r>
      <w:r w:rsidR="00AF5EFF" w:rsidRPr="006B0515">
        <w:t>.</w:t>
      </w:r>
      <w:r w:rsidRPr="006B0515">
        <w:t xml:space="preserve"> </w:t>
      </w:r>
      <w:r w:rsidR="00AF5EFF" w:rsidRPr="006B0515">
        <w:tab/>
      </w:r>
      <w:r w:rsidRPr="006B0515">
        <w:t>Evaluate each application to ensure there is a need for paint stripping (e.g., evaluate whether it is possible to re-coat the piece without removing the existing coating).</w:t>
      </w:r>
    </w:p>
    <w:p w:rsidR="00AF5EFF" w:rsidRPr="006B0515" w:rsidRDefault="00AF5EFF" w:rsidP="00AF5EFF">
      <w:pPr>
        <w:ind w:left="1080" w:hanging="360"/>
      </w:pPr>
    </w:p>
    <w:p w:rsidR="00C21D83" w:rsidRPr="006B0515" w:rsidRDefault="00C21D83" w:rsidP="00AF5EFF">
      <w:pPr>
        <w:ind w:left="1080" w:hanging="360"/>
      </w:pPr>
      <w:r w:rsidRPr="006B0515">
        <w:t>2</w:t>
      </w:r>
      <w:r w:rsidR="00AF5EFF" w:rsidRPr="006B0515">
        <w:t>.</w:t>
      </w:r>
      <w:r w:rsidRPr="006B0515">
        <w:t xml:space="preserve"> </w:t>
      </w:r>
      <w:r w:rsidR="00AF5EFF" w:rsidRPr="006B0515">
        <w:tab/>
      </w:r>
      <w:r w:rsidRPr="006B0515">
        <w:t>Evaluate each application where a paint stripper containing MeCl is used to ensure that there is no alternative paint stripping technology that can be used.</w:t>
      </w:r>
    </w:p>
    <w:p w:rsidR="00AF5EFF" w:rsidRPr="006B0515" w:rsidRDefault="00AF5EFF" w:rsidP="00AF5EFF">
      <w:pPr>
        <w:ind w:left="1080" w:hanging="360"/>
      </w:pPr>
    </w:p>
    <w:p w:rsidR="00C21D83" w:rsidRPr="006B0515" w:rsidRDefault="00C21D83" w:rsidP="00AF5EFF">
      <w:pPr>
        <w:ind w:left="1080" w:hanging="360"/>
      </w:pPr>
      <w:r w:rsidRPr="006B0515">
        <w:t>3</w:t>
      </w:r>
      <w:r w:rsidR="00AF5EFF" w:rsidRPr="006B0515">
        <w:t>.</w:t>
      </w:r>
      <w:r w:rsidRPr="006B0515">
        <w:t xml:space="preserve"> </w:t>
      </w:r>
      <w:r w:rsidR="00AF5EFF" w:rsidRPr="006B0515">
        <w:tab/>
      </w:r>
      <w:r w:rsidRPr="006B0515">
        <w:t>Reduce exposure of all paint strippers containing MeCl to the air.</w:t>
      </w:r>
    </w:p>
    <w:p w:rsidR="00AF5EFF" w:rsidRPr="006B0515" w:rsidRDefault="00AF5EFF" w:rsidP="00AF5EFF">
      <w:pPr>
        <w:ind w:left="1080" w:hanging="360"/>
      </w:pPr>
    </w:p>
    <w:p w:rsidR="00C21D83" w:rsidRPr="006B0515" w:rsidRDefault="00C21D83" w:rsidP="00AF5EFF">
      <w:pPr>
        <w:ind w:left="1080" w:hanging="360"/>
      </w:pPr>
      <w:r w:rsidRPr="006B0515">
        <w:t>4</w:t>
      </w:r>
      <w:r w:rsidR="00AF5EFF" w:rsidRPr="006B0515">
        <w:t>.</w:t>
      </w:r>
      <w:r w:rsidR="00AF5EFF" w:rsidRPr="006B0515">
        <w:tab/>
      </w:r>
      <w:r w:rsidRPr="006B0515">
        <w:t>Optimize application conditions when using paint strippers containing MeCl to reduce MeCl evaporation (e.g., if the stripper must be heated, make sure that the temperature is kept as low as possible to reduce evaporation).</w:t>
      </w:r>
    </w:p>
    <w:p w:rsidR="00AF5EFF" w:rsidRPr="006B0515" w:rsidRDefault="00AF5EFF" w:rsidP="00AF5EFF">
      <w:pPr>
        <w:ind w:left="1080" w:hanging="360"/>
      </w:pPr>
    </w:p>
    <w:p w:rsidR="00C21D83" w:rsidRPr="006B0515" w:rsidRDefault="00C21D83" w:rsidP="00AF5EFF">
      <w:pPr>
        <w:ind w:left="1080" w:hanging="360"/>
      </w:pPr>
      <w:r w:rsidRPr="006B0515">
        <w:t>5</w:t>
      </w:r>
      <w:r w:rsidR="00AF5EFF" w:rsidRPr="006B0515">
        <w:t>.</w:t>
      </w:r>
      <w:r w:rsidR="00AF5EFF" w:rsidRPr="006B0515">
        <w:tab/>
      </w:r>
      <w:r w:rsidRPr="006B0515">
        <w:t>Practice proper storage and disposal of paint strippers containing MeCl (e.g., store stripper in closed, air-tight containers).</w:t>
      </w:r>
    </w:p>
    <w:p w:rsidR="00AF5EFF" w:rsidRPr="00231F3F" w:rsidRDefault="00AF5EFF" w:rsidP="00AF5EFF">
      <w:pPr>
        <w:pStyle w:val="Signature"/>
        <w:tabs>
          <w:tab w:val="num" w:pos="720"/>
        </w:tabs>
        <w:ind w:left="720" w:hanging="360"/>
      </w:pPr>
    </w:p>
    <w:p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rsidR="00C62DAF" w:rsidRPr="006B0515" w:rsidRDefault="00C62DAF" w:rsidP="008E19CC">
      <w:pPr>
        <w:pStyle w:val="Signature"/>
        <w:tabs>
          <w:tab w:val="num" w:pos="720"/>
        </w:tabs>
        <w:ind w:left="720" w:hanging="360"/>
      </w:pPr>
    </w:p>
    <w:p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rsidR="002356B3" w:rsidRPr="006B0515" w:rsidRDefault="002356B3"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Pr="006B0515" w:rsidRDefault="00C62DAF"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rsidR="000D1A27" w:rsidRPr="006B0515" w:rsidRDefault="000D1A27"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rsidR="00C62DAF" w:rsidRPr="006B0515" w:rsidRDefault="00C62DAF" w:rsidP="008E19CC">
      <w:pPr>
        <w:pStyle w:val="Signature"/>
        <w:ind w:left="720" w:hanging="360"/>
      </w:pPr>
    </w:p>
    <w:p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3C0F18" w:rsidRPr="006B0515">
        <w:t>these</w:t>
      </w:r>
      <w:r w:rsidRPr="006B0515">
        <w:t xml:space="preserve"> paint booth</w:t>
      </w:r>
      <w:r w:rsidR="003C0F18" w:rsidRPr="006B0515">
        <w:t>s</w:t>
      </w:r>
      <w:r w:rsidRPr="006B0515">
        <w:t>.</w:t>
      </w:r>
    </w:p>
    <w:p w:rsidR="004C5FD4" w:rsidRPr="006B0515" w:rsidRDefault="004C5FD4" w:rsidP="008E19CC">
      <w:pPr>
        <w:pStyle w:val="Signature"/>
        <w:ind w:left="720" w:hanging="360"/>
      </w:pPr>
    </w:p>
    <w:p w:rsidR="00054959" w:rsidRPr="006B0515" w:rsidRDefault="00054959" w:rsidP="00054959">
      <w:pPr>
        <w:pStyle w:val="Signature"/>
        <w:ind w:left="720" w:hanging="360"/>
      </w:pPr>
      <w:r w:rsidRPr="006B0515">
        <w:lastRenderedPageBreak/>
        <w:t>d.</w:t>
      </w:r>
      <w:r w:rsidRPr="006B0515">
        <w:tab/>
      </w:r>
      <w:r w:rsidR="00A1080A">
        <w:t>Each</w:t>
      </w:r>
      <w:r w:rsidRPr="006B0515">
        <w:t xml:space="preserve"> exhaust stack shall be designed to ensure compliance with </w:t>
      </w:r>
      <w:r w:rsidRPr="006B0515">
        <w:rPr>
          <w:rFonts w:eastAsia="Calibri"/>
        </w:rPr>
        <w:t xml:space="preserve">Condition </w:t>
      </w:r>
      <w:proofErr w:type="gramStart"/>
      <w:r w:rsidRPr="006B0515">
        <w:rPr>
          <w:rFonts w:eastAsia="Calibri"/>
        </w:rPr>
        <w:t>II</w:t>
      </w:r>
      <w:r w:rsidRPr="006B0515">
        <w:t>(</w:t>
      </w:r>
      <w:proofErr w:type="gramEnd"/>
      <w:r w:rsidR="00B4552D" w:rsidRPr="006B0515">
        <w:t>b</w:t>
      </w:r>
      <w:r w:rsidRPr="006B0515">
        <w:t xml:space="preserve">) of this </w:t>
      </w:r>
      <w:r w:rsidR="00A1080A">
        <w:t xml:space="preserve">set of </w:t>
      </w:r>
      <w:r w:rsidRPr="006B0515">
        <w:t>permit</w:t>
      </w:r>
      <w:r w:rsidR="00A1080A">
        <w:t>s</w:t>
      </w:r>
      <w:r w:rsidRPr="006B0515">
        <w:t>.</w:t>
      </w:r>
    </w:p>
    <w:p w:rsidR="003E3736" w:rsidRPr="006B0515" w:rsidRDefault="003E3736" w:rsidP="008E19CC">
      <w:pPr>
        <w:pStyle w:val="Signature"/>
        <w:ind w:left="720" w:hanging="360"/>
      </w:pPr>
    </w:p>
    <w:p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applied shall </w:t>
      </w:r>
      <w:r w:rsidR="00054959" w:rsidRPr="006B0515">
        <w:t xml:space="preserve">primarily </w:t>
      </w:r>
      <w:r w:rsidR="00BB208D" w:rsidRPr="006B0515">
        <w:t>be by one or more of the following methods:</w:t>
      </w:r>
    </w:p>
    <w:p w:rsidR="00BB208D" w:rsidRPr="006B0515" w:rsidRDefault="00BB208D" w:rsidP="008E19CC">
      <w:pPr>
        <w:pStyle w:val="Signature"/>
        <w:tabs>
          <w:tab w:val="left" w:pos="720"/>
        </w:tabs>
        <w:ind w:left="720" w:hanging="360"/>
      </w:pPr>
    </w:p>
    <w:p w:rsidR="00BB208D" w:rsidRPr="006B0515" w:rsidRDefault="00BB208D" w:rsidP="008E19CC">
      <w:pPr>
        <w:pStyle w:val="Signature"/>
        <w:tabs>
          <w:tab w:val="left" w:pos="1080"/>
        </w:tabs>
        <w:ind w:left="1080" w:hanging="360"/>
      </w:pPr>
      <w:r w:rsidRPr="006B0515">
        <w:t>1.</w:t>
      </w:r>
      <w:r w:rsidRPr="006B0515">
        <w:tab/>
        <w:t>Powder coating;</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2.</w:t>
      </w:r>
      <w:r w:rsidRPr="006B0515">
        <w:tab/>
        <w:t>Hand-held, non-refillable aerosol containers;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rsidR="00AB729F" w:rsidRPr="006B0515" w:rsidRDefault="00AB729F" w:rsidP="008E19CC">
      <w:pPr>
        <w:pStyle w:val="Signature"/>
        <w:tabs>
          <w:tab w:val="left" w:pos="1080"/>
        </w:tabs>
        <w:ind w:left="1080" w:hanging="360"/>
      </w:pPr>
    </w:p>
    <w:p w:rsidR="00AB729F" w:rsidRPr="006B0515" w:rsidRDefault="00AB729F" w:rsidP="008E19CC">
      <w:pPr>
        <w:pStyle w:val="Signature"/>
        <w:tabs>
          <w:tab w:val="left" w:pos="1080"/>
        </w:tabs>
        <w:ind w:left="1080" w:hanging="360"/>
      </w:pPr>
      <w:r w:rsidRPr="006B0515">
        <w:t>5.</w:t>
      </w:r>
      <w:r w:rsidRPr="006B0515">
        <w:tab/>
        <w:t>High volume low pressure (HVLP) spray guns.</w:t>
      </w:r>
    </w:p>
    <w:p w:rsidR="001361E1" w:rsidRPr="006B0515" w:rsidRDefault="001361E1" w:rsidP="008E19CC">
      <w:pPr>
        <w:pStyle w:val="Signature"/>
        <w:tabs>
          <w:tab w:val="left" w:pos="720"/>
        </w:tabs>
        <w:ind w:left="720" w:hanging="360"/>
      </w:pPr>
    </w:p>
    <w:p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rsidR="00BB208D" w:rsidRPr="006B0515" w:rsidRDefault="00BB208D" w:rsidP="008E19CC">
      <w:pPr>
        <w:pStyle w:val="Signature"/>
        <w:tabs>
          <w:tab w:val="left" w:pos="720"/>
        </w:tabs>
        <w:ind w:left="720" w:hanging="360"/>
      </w:pPr>
    </w:p>
    <w:p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rsidR="00AB729F" w:rsidRPr="006B0515" w:rsidRDefault="00AB729F" w:rsidP="008E19CC">
      <w:pPr>
        <w:pStyle w:val="Signature"/>
        <w:tabs>
          <w:tab w:val="left" w:pos="1080"/>
        </w:tabs>
        <w:ind w:left="1080" w:hanging="360"/>
      </w:pPr>
    </w:p>
    <w:p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rsidR="0006541E" w:rsidRPr="006B0515" w:rsidRDefault="0006541E" w:rsidP="0006541E">
      <w:pPr>
        <w:pStyle w:val="Signature"/>
        <w:tabs>
          <w:tab w:val="left" w:pos="1080"/>
        </w:tabs>
        <w:ind w:left="1080" w:hanging="360"/>
      </w:pPr>
    </w:p>
    <w:p w:rsidR="0006541E" w:rsidRPr="006B0515" w:rsidRDefault="00A1080A" w:rsidP="0006541E">
      <w:pPr>
        <w:pStyle w:val="Signature"/>
        <w:tabs>
          <w:tab w:val="left" w:pos="1440"/>
        </w:tabs>
        <w:ind w:left="1440" w:hanging="360"/>
      </w:pPr>
      <w:proofErr w:type="spellStart"/>
      <w:r>
        <w:t>i</w:t>
      </w:r>
      <w:proofErr w:type="spellEnd"/>
      <w:r w:rsidR="0006541E" w:rsidRPr="006B0515">
        <w:t>.</w:t>
      </w:r>
      <w:r w:rsidR="0006541E" w:rsidRPr="006B0515">
        <w:tab/>
        <w:t>Use of an enclosed spray gun cleaning system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rsidR="0006541E" w:rsidRPr="006B0515" w:rsidRDefault="0006541E" w:rsidP="0006541E">
      <w:pPr>
        <w:pStyle w:val="Signature"/>
        <w:tabs>
          <w:tab w:val="left" w:pos="1440"/>
        </w:tabs>
        <w:ind w:left="1440" w:hanging="360"/>
      </w:pPr>
    </w:p>
    <w:p w:rsidR="0006541E" w:rsidRPr="006B0515" w:rsidRDefault="00A1080A" w:rsidP="0006541E">
      <w:pPr>
        <w:pStyle w:val="Signature"/>
        <w:ind w:left="1440" w:hanging="360"/>
      </w:pPr>
      <w:r>
        <w:t>iv</w:t>
      </w:r>
      <w:r w:rsidR="0006541E" w:rsidRPr="006B0515">
        <w:t>.</w:t>
      </w:r>
      <w:r w:rsidR="0006541E" w:rsidRPr="006B0515">
        <w:tab/>
        <w:t>Use of an atomized spray into a paint waste container that is fitted with a device designed to capture atomized solvent emissions.</w:t>
      </w:r>
    </w:p>
    <w:p w:rsidR="003E3736" w:rsidRPr="006B0515" w:rsidRDefault="003E3736" w:rsidP="008E19CC">
      <w:pPr>
        <w:pStyle w:val="Signature"/>
        <w:tabs>
          <w:tab w:val="left" w:pos="720"/>
        </w:tabs>
        <w:ind w:left="720" w:hanging="360"/>
      </w:pPr>
    </w:p>
    <w:p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w:t>
      </w:r>
      <w:r w:rsidR="003C0F18" w:rsidRPr="006B0515">
        <w:t>s</w:t>
      </w:r>
      <w:r w:rsidR="003E3736" w:rsidRPr="006B0515">
        <w:t xml:space="preserve"> shall meet the following specifications</w:t>
      </w:r>
      <w:r w:rsidR="004C5FD4" w:rsidRPr="006B0515">
        <w:t xml:space="preserve"> [20 DCMR 201]</w:t>
      </w:r>
      <w:r w:rsidR="003E3736" w:rsidRPr="006B0515">
        <w:t>:</w:t>
      </w:r>
    </w:p>
    <w:p w:rsidR="0006541E" w:rsidRPr="006B0515" w:rsidRDefault="0006541E"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1.</w:t>
      </w:r>
      <w:r w:rsidRPr="006B0515">
        <w:tab/>
        <w:t>The unit shall be fitted with a type of filter technology that is demonstrated to achieve at least 98-percent capture of paint overspr</w:t>
      </w:r>
      <w:r w:rsidR="00AB6B81" w:rsidRPr="006B0515">
        <w:t xml:space="preserve">ay. </w:t>
      </w:r>
    </w:p>
    <w:p w:rsidR="003E3736" w:rsidRPr="006B0515" w:rsidRDefault="003E3736" w:rsidP="008E19CC">
      <w:pPr>
        <w:pStyle w:val="Signature"/>
        <w:tabs>
          <w:tab w:val="left" w:pos="1080"/>
        </w:tabs>
        <w:ind w:left="1080" w:hanging="360"/>
      </w:pPr>
    </w:p>
    <w:p w:rsidR="003E3736" w:rsidRPr="006B0515" w:rsidRDefault="003E3736" w:rsidP="008E19CC">
      <w:pPr>
        <w:pStyle w:val="Signature"/>
        <w:tabs>
          <w:tab w:val="left" w:pos="1080"/>
        </w:tabs>
        <w:ind w:left="1080" w:hanging="360"/>
        <w:rPr>
          <w:bCs/>
          <w:iCs/>
        </w:rPr>
      </w:pPr>
      <w:r w:rsidRPr="006B0515">
        <w:t>2.</w:t>
      </w:r>
      <w:r w:rsidRPr="006B0515">
        <w:tab/>
        <w:t xml:space="preserve">The exhaust filters shall </w:t>
      </w:r>
      <w:r w:rsidRPr="006B0515">
        <w:rPr>
          <w:bCs/>
          <w:iCs/>
        </w:rPr>
        <w:t>be replaced as specified by manufacturers’ specifications</w:t>
      </w:r>
      <w:r w:rsidR="0028624E">
        <w:rPr>
          <w:bCs/>
          <w:iCs/>
        </w:rPr>
        <w:t xml:space="preserve"> and as necessary to ensure compliance with Condition II(c) of these permits</w:t>
      </w:r>
      <w:r w:rsidRPr="006B0515">
        <w:rPr>
          <w:bCs/>
          <w:iCs/>
        </w:rPr>
        <w:t xml:space="preserve">.  </w:t>
      </w:r>
    </w:p>
    <w:p w:rsidR="003E3736" w:rsidRPr="006B0515" w:rsidRDefault="003E3736" w:rsidP="008E19CC">
      <w:pPr>
        <w:pStyle w:val="Signature"/>
        <w:tabs>
          <w:tab w:val="left" w:pos="1080"/>
        </w:tabs>
        <w:ind w:left="1080" w:hanging="360"/>
      </w:pPr>
      <w:r w:rsidRPr="006B0515">
        <w:lastRenderedPageBreak/>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rsidR="003E3736" w:rsidRPr="006B0515" w:rsidRDefault="003E3736"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rsidR="003E3736" w:rsidRPr="006B0515" w:rsidRDefault="003E3736" w:rsidP="008E19CC">
      <w:pPr>
        <w:pStyle w:val="Signature"/>
        <w:tabs>
          <w:tab w:val="left" w:pos="720"/>
        </w:tabs>
        <w:ind w:left="720" w:hanging="360"/>
      </w:pPr>
    </w:p>
    <w:p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rsidR="003E3736" w:rsidRPr="006B0515" w:rsidRDefault="003E3736" w:rsidP="008E19CC">
      <w:pPr>
        <w:ind w:left="720" w:hanging="360"/>
      </w:pPr>
      <w:r w:rsidRPr="006B0515">
        <w:t> </w:t>
      </w:r>
    </w:p>
    <w:p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rsidR="0028624E" w:rsidRDefault="0028624E" w:rsidP="008E19CC">
      <w:pPr>
        <w:tabs>
          <w:tab w:val="left" w:pos="1620"/>
        </w:tabs>
        <w:ind w:left="1080" w:hanging="360"/>
      </w:pPr>
    </w:p>
    <w:p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rsidR="003E3736" w:rsidRPr="006B0515" w:rsidRDefault="003E3736" w:rsidP="008E19CC">
      <w:pPr>
        <w:tabs>
          <w:tab w:val="left" w:pos="1620"/>
        </w:tabs>
        <w:ind w:left="1080" w:hanging="360"/>
      </w:pPr>
    </w:p>
    <w:p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rsidR="003E3736" w:rsidRPr="006B0515" w:rsidRDefault="003E3736" w:rsidP="008E19CC">
      <w:pPr>
        <w:tabs>
          <w:tab w:val="left" w:pos="2160"/>
        </w:tabs>
        <w:ind w:left="1080" w:hanging="360"/>
      </w:pPr>
    </w:p>
    <w:p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rsidR="003E3736" w:rsidRPr="006B0515" w:rsidRDefault="003E3736" w:rsidP="008E19CC">
      <w:pPr>
        <w:ind w:left="1080" w:hanging="360"/>
      </w:pPr>
    </w:p>
    <w:p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rsidR="003E3736" w:rsidRPr="006B0515" w:rsidRDefault="003E3736" w:rsidP="008E19CC">
      <w:pPr>
        <w:pStyle w:val="Signature"/>
        <w:tabs>
          <w:tab w:val="left" w:pos="720"/>
        </w:tabs>
      </w:pPr>
    </w:p>
    <w:p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6541E" w:rsidRPr="006B0515" w:rsidRDefault="0006541E" w:rsidP="0006541E">
      <w:pPr>
        <w:pStyle w:val="Signature"/>
        <w:tabs>
          <w:tab w:val="left" w:pos="720"/>
        </w:tabs>
        <w:ind w:left="720" w:hanging="360"/>
      </w:pPr>
    </w:p>
    <w:p w:rsidR="0006541E" w:rsidRPr="006B0515" w:rsidRDefault="0006541E" w:rsidP="0006541E">
      <w:pPr>
        <w:pStyle w:val="Signature"/>
        <w:tabs>
          <w:tab w:val="left" w:pos="720"/>
        </w:tabs>
        <w:ind w:left="720" w:hanging="360"/>
      </w:pPr>
      <w:r w:rsidRPr="006B0515">
        <w:t>j.</w:t>
      </w:r>
      <w:r w:rsidRPr="006B0515">
        <w:tab/>
        <w:t>The Permittee shall use less than 3,842 liters (1,015 gallons) of coatings (as applied) for coating metal furniture per calendar year at the facility (all metal furniture coating occurring at the facility, not just in th</w:t>
      </w:r>
      <w:r w:rsidR="003C0F18" w:rsidRPr="006B0515">
        <w:t>e</w:t>
      </w:r>
      <w:r w:rsidRPr="006B0515">
        <w:t>s</w:t>
      </w:r>
      <w:r w:rsidR="003C0F18" w:rsidRPr="006B0515">
        <w:t>e</w:t>
      </w:r>
      <w:r w:rsidRPr="006B0515">
        <w:t xml:space="preserve"> booth</w:t>
      </w:r>
      <w:r w:rsidR="003C0F18" w:rsidRPr="006B0515">
        <w:t>s</w:t>
      </w:r>
      <w:r w:rsidRPr="006B0515">
        <w:t>). [20 DCMR 201 and 40 CFR 60.310(c)]</w:t>
      </w:r>
    </w:p>
    <w:p w:rsidR="0006541E" w:rsidRPr="006B0515" w:rsidRDefault="0006541E" w:rsidP="008E19CC">
      <w:pPr>
        <w:pStyle w:val="Signature"/>
        <w:ind w:left="360" w:hanging="360"/>
      </w:pPr>
    </w:p>
    <w:p w:rsidR="00C21D83" w:rsidRPr="006B0515" w:rsidRDefault="00C21D83" w:rsidP="00AF5EFF">
      <w:pPr>
        <w:pStyle w:val="Signature"/>
        <w:tabs>
          <w:tab w:val="left" w:pos="720"/>
          <w:tab w:val="left" w:pos="4950"/>
        </w:tabs>
        <w:ind w:left="720" w:hanging="360"/>
        <w:rPr>
          <w:color w:val="000000"/>
        </w:rPr>
      </w:pPr>
      <w:r w:rsidRPr="006B0515">
        <w:rPr>
          <w:color w:val="000000"/>
        </w:rPr>
        <w:t>k</w:t>
      </w:r>
      <w:r w:rsidR="00541593" w:rsidRPr="006B0515">
        <w:rPr>
          <w:color w:val="000000"/>
        </w:rPr>
        <w:t>.</w:t>
      </w:r>
      <w:r w:rsidR="00541593" w:rsidRPr="006B0515">
        <w:rPr>
          <w:color w:val="000000"/>
        </w:rPr>
        <w:tab/>
      </w:r>
      <w:r w:rsidRPr="006B0515">
        <w:t>The Permittee shall use less than</w:t>
      </w:r>
      <w:r w:rsidRPr="006B0515">
        <w:rPr>
          <w:color w:val="000000"/>
        </w:rPr>
        <w:t xml:space="preserve"> one ton of MeCl in the paint stripping operations</w:t>
      </w:r>
      <w:r w:rsidR="00D52B22" w:rsidRPr="006B0515">
        <w:rPr>
          <w:color w:val="000000"/>
        </w:rPr>
        <w:t xml:space="preserve"> </w:t>
      </w:r>
      <w:r w:rsidR="00D52B22" w:rsidRPr="006B0515">
        <w:t>per calendar year</w:t>
      </w:r>
      <w:r w:rsidRPr="006B0515">
        <w:rPr>
          <w:color w:val="000000"/>
        </w:rPr>
        <w:t>.</w:t>
      </w:r>
      <w:r w:rsidR="00AF5EFF" w:rsidRPr="006B0515">
        <w:rPr>
          <w:color w:val="000000"/>
        </w:rPr>
        <w:t xml:space="preserve"> If </w:t>
      </w:r>
      <w:r w:rsidR="004D5BA3" w:rsidRPr="006B0515">
        <w:rPr>
          <w:color w:val="000000"/>
        </w:rPr>
        <w:t>the P</w:t>
      </w:r>
      <w:r w:rsidR="00AF5EFF" w:rsidRPr="006B0515">
        <w:rPr>
          <w:color w:val="000000"/>
        </w:rPr>
        <w:t xml:space="preserve">ermittee </w:t>
      </w:r>
      <w:r w:rsidR="0028624E">
        <w:rPr>
          <w:color w:val="000000"/>
        </w:rPr>
        <w:t>wishes to use</w:t>
      </w:r>
      <w:r w:rsidR="00AF5EFF" w:rsidRPr="006B0515">
        <w:rPr>
          <w:color w:val="000000"/>
        </w:rPr>
        <w:t xml:space="preserve"> more than one ton of MeCl</w:t>
      </w:r>
      <w:r w:rsidR="00D52B22" w:rsidRPr="006B0515">
        <w:rPr>
          <w:color w:val="000000"/>
        </w:rPr>
        <w:t xml:space="preserve"> </w:t>
      </w:r>
      <w:r w:rsidR="00D52B22" w:rsidRPr="006B0515">
        <w:t>per calendar year</w:t>
      </w:r>
      <w:r w:rsidR="00AF5EFF" w:rsidRPr="006B0515">
        <w:rPr>
          <w:color w:val="000000"/>
        </w:rPr>
        <w:t xml:space="preserve">, the </w:t>
      </w:r>
      <w:r w:rsidR="004D5BA3" w:rsidRPr="006B0515">
        <w:rPr>
          <w:color w:val="000000"/>
        </w:rPr>
        <w:t>P</w:t>
      </w:r>
      <w:r w:rsidR="00AF5EFF" w:rsidRPr="006B0515">
        <w:rPr>
          <w:color w:val="000000"/>
        </w:rPr>
        <w:t xml:space="preserve">ermittee </w:t>
      </w:r>
      <w:r w:rsidR="004D7527" w:rsidRPr="006B0515">
        <w:rPr>
          <w:color w:val="000000"/>
        </w:rPr>
        <w:t>shall</w:t>
      </w:r>
      <w:r w:rsidR="00AF5EFF" w:rsidRPr="006B0515">
        <w:rPr>
          <w:color w:val="000000"/>
        </w:rPr>
        <w:t xml:space="preserve"> develop and implement a written MeCl minimization plan to minimize the use and emissions of </w:t>
      </w:r>
      <w:proofErr w:type="spellStart"/>
      <w:r w:rsidR="00AF5EFF" w:rsidRPr="006B0515">
        <w:rPr>
          <w:color w:val="000000"/>
        </w:rPr>
        <w:t>MeCl</w:t>
      </w:r>
      <w:proofErr w:type="spellEnd"/>
      <w:r w:rsidR="0028624E">
        <w:rPr>
          <w:color w:val="000000"/>
        </w:rPr>
        <w:t xml:space="preserve"> pursuant to 40 CFR 63.11173(b) and shall submit such plan to the Department for approval</w:t>
      </w:r>
      <w:r w:rsidR="004874F1">
        <w:rPr>
          <w:color w:val="000000"/>
        </w:rPr>
        <w:t xml:space="preserve"> as part of a permit amendment request</w:t>
      </w:r>
      <w:r w:rsidR="00AF5EFF" w:rsidRPr="006B0515">
        <w:rPr>
          <w:color w:val="000000"/>
        </w:rPr>
        <w:t xml:space="preserve">. </w:t>
      </w:r>
      <w:r w:rsidR="004874F1">
        <w:rPr>
          <w:color w:val="000000"/>
        </w:rPr>
        <w:t xml:space="preserve">Such a permit amendment must be issued by the Department prior to exceeding the one ton of </w:t>
      </w:r>
      <w:proofErr w:type="spellStart"/>
      <w:r w:rsidR="004874F1">
        <w:rPr>
          <w:color w:val="000000"/>
        </w:rPr>
        <w:t>MeCl</w:t>
      </w:r>
      <w:proofErr w:type="spellEnd"/>
      <w:r w:rsidR="004874F1">
        <w:rPr>
          <w:color w:val="000000"/>
        </w:rPr>
        <w:t xml:space="preserve"> per year threshold. [20 DCMR 200]</w:t>
      </w:r>
    </w:p>
    <w:p w:rsidR="00C21D83" w:rsidRPr="006B0515" w:rsidRDefault="00C21D83" w:rsidP="008E19CC">
      <w:pPr>
        <w:pStyle w:val="Signature"/>
        <w:ind w:left="360" w:hanging="360"/>
      </w:pPr>
    </w:p>
    <w:p w:rsidR="004874F1" w:rsidRDefault="004874F1">
      <w:r>
        <w:br w:type="page"/>
      </w:r>
    </w:p>
    <w:p w:rsidR="003E3736" w:rsidRPr="006B0515" w:rsidRDefault="003E3736" w:rsidP="008E19CC">
      <w:pPr>
        <w:pStyle w:val="Signature"/>
        <w:ind w:left="360" w:hanging="360"/>
      </w:pPr>
      <w:r w:rsidRPr="006B0515">
        <w:lastRenderedPageBreak/>
        <w:t>IV.</w:t>
      </w:r>
      <w:r w:rsidRPr="006B0515">
        <w:tab/>
      </w:r>
      <w:r w:rsidRPr="006B0515">
        <w:rPr>
          <w:u w:val="single"/>
        </w:rPr>
        <w:t>Monitoring and Testing Requirements</w:t>
      </w:r>
      <w:r w:rsidRPr="006B0515">
        <w:t>:</w:t>
      </w:r>
    </w:p>
    <w:p w:rsidR="003E3736" w:rsidRPr="006B0515" w:rsidRDefault="003E3736" w:rsidP="008E19CC">
      <w:pPr>
        <w:pStyle w:val="Signature"/>
        <w:ind w:left="360" w:hanging="360"/>
      </w:pPr>
    </w:p>
    <w:p w:rsidR="003E3736" w:rsidRPr="006B0515" w:rsidRDefault="003E3736" w:rsidP="008E19CC">
      <w:pPr>
        <w:pStyle w:val="Signature"/>
        <w:ind w:left="720" w:hanging="360"/>
      </w:pPr>
      <w:r w:rsidRPr="006B0515">
        <w:t>a.</w:t>
      </w:r>
      <w:r w:rsidRPr="006B0515">
        <w:tab/>
        <w:t xml:space="preserve">The Permittee shall monitor the contents of any chemical strippers used at the facility to ensure </w:t>
      </w:r>
      <w:r w:rsidR="001B644C" w:rsidRPr="006B0515">
        <w:t>implementation of the management practices in Condition III(a)</w:t>
      </w:r>
      <w:r w:rsidRPr="006B0515">
        <w:t>.</w:t>
      </w:r>
    </w:p>
    <w:p w:rsidR="003E3736" w:rsidRPr="006B0515" w:rsidRDefault="003E3736" w:rsidP="008E19CC">
      <w:pPr>
        <w:pStyle w:val="Signature"/>
        <w:ind w:left="720" w:hanging="360"/>
      </w:pPr>
    </w:p>
    <w:p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rsidR="007A12C3" w:rsidRPr="006B0515" w:rsidRDefault="007A12C3" w:rsidP="008E19CC">
      <w:pPr>
        <w:pStyle w:val="Signature"/>
        <w:ind w:left="720" w:hanging="360"/>
      </w:pPr>
    </w:p>
    <w:p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rsidR="003E3736" w:rsidRPr="006B0515" w:rsidRDefault="003E3736" w:rsidP="008E19CC">
      <w:pPr>
        <w:pStyle w:val="Signature"/>
        <w:ind w:left="720" w:hanging="360"/>
      </w:pPr>
    </w:p>
    <w:p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rsidR="003E3736" w:rsidRPr="006B0515" w:rsidRDefault="003E3736"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rPr>
          <w:position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32.75pt" o:ole="">
            <v:imagedata r:id="rId8" o:title=""/>
          </v:shape>
          <o:OLEObject Type="Embed" ProgID="Equation.3" ShapeID="_x0000_i1025" DrawAspect="Content" ObjectID="_1635685207" r:id="rId9"/>
        </w:object>
      </w:r>
    </w:p>
    <w:p w:rsidR="003E3736" w:rsidRPr="006B0515" w:rsidRDefault="003E3736" w:rsidP="008E19CC">
      <w:pPr>
        <w:autoSpaceDE w:val="0"/>
        <w:autoSpaceDN w:val="0"/>
        <w:adjustRightInd w:val="0"/>
        <w:ind w:left="720"/>
      </w:pPr>
      <w:r w:rsidRPr="006B0515">
        <w:t>where:</w:t>
      </w:r>
    </w:p>
    <w:p w:rsidR="003E3736" w:rsidRPr="006B0515" w:rsidRDefault="003E3736" w:rsidP="008E19CC">
      <w:pPr>
        <w:autoSpaceDE w:val="0"/>
        <w:autoSpaceDN w:val="0"/>
        <w:adjustRightInd w:val="0"/>
        <w:ind w:left="720"/>
      </w:pPr>
      <w:r w:rsidRPr="006B0515">
        <w:t>VOC = VOC content in grams per liter (g/l) of coating less water and non VOC solvents;</w:t>
      </w:r>
    </w:p>
    <w:p w:rsidR="003E3736" w:rsidRPr="006B0515" w:rsidRDefault="003E3736" w:rsidP="008E19CC">
      <w:pPr>
        <w:autoSpaceDE w:val="0"/>
        <w:autoSpaceDN w:val="0"/>
        <w:adjustRightInd w:val="0"/>
        <w:ind w:left="720"/>
      </w:pPr>
      <w:r w:rsidRPr="006B0515">
        <w:t>Wv = Mass of total volatiles, in grams;</w:t>
      </w:r>
    </w:p>
    <w:p w:rsidR="003E3736" w:rsidRPr="006B0515" w:rsidRDefault="003E3736" w:rsidP="008E19CC">
      <w:pPr>
        <w:autoSpaceDE w:val="0"/>
        <w:autoSpaceDN w:val="0"/>
        <w:adjustRightInd w:val="0"/>
        <w:ind w:left="720"/>
      </w:pPr>
      <w:r w:rsidRPr="006B0515">
        <w:t>Ww = Mass of water, in grams;</w:t>
      </w:r>
    </w:p>
    <w:p w:rsidR="003E3736" w:rsidRPr="006B0515" w:rsidRDefault="003E3736" w:rsidP="008E19CC">
      <w:pPr>
        <w:autoSpaceDE w:val="0"/>
        <w:autoSpaceDN w:val="0"/>
        <w:adjustRightInd w:val="0"/>
        <w:ind w:left="720"/>
      </w:pPr>
      <w:r w:rsidRPr="006B0515">
        <w:t>Wec = Mass of exempt compounds, in grams;</w:t>
      </w:r>
    </w:p>
    <w:p w:rsidR="003E3736" w:rsidRPr="006B0515" w:rsidRDefault="003E3736" w:rsidP="008E19CC">
      <w:pPr>
        <w:autoSpaceDE w:val="0"/>
        <w:autoSpaceDN w:val="0"/>
        <w:adjustRightInd w:val="0"/>
        <w:ind w:left="720"/>
      </w:pPr>
      <w:r w:rsidRPr="006B0515">
        <w:t>V = Volume of coating, in liters;</w:t>
      </w:r>
    </w:p>
    <w:p w:rsidR="003E3736" w:rsidRPr="006B0515" w:rsidRDefault="003E3736" w:rsidP="008E19CC">
      <w:pPr>
        <w:autoSpaceDE w:val="0"/>
        <w:autoSpaceDN w:val="0"/>
        <w:adjustRightInd w:val="0"/>
        <w:ind w:left="720"/>
      </w:pPr>
      <w:r w:rsidRPr="006B0515">
        <w:t>Vw = Volume of water, in liters; and</w:t>
      </w:r>
    </w:p>
    <w:p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rsidR="003E3736" w:rsidRPr="006B0515" w:rsidRDefault="003E3736" w:rsidP="008E19CC">
      <w:pPr>
        <w:autoSpaceDE w:val="0"/>
        <w:autoSpaceDN w:val="0"/>
        <w:adjustRightInd w:val="0"/>
        <w:ind w:left="1080"/>
      </w:pPr>
    </w:p>
    <w:p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rsidR="003E3736" w:rsidRPr="006B0515" w:rsidRDefault="003E3736" w:rsidP="008E19CC">
      <w:pPr>
        <w:pStyle w:val="Signature"/>
        <w:ind w:left="720" w:hanging="360"/>
      </w:pPr>
    </w:p>
    <w:p w:rsidR="003E3736" w:rsidRPr="006B0515" w:rsidRDefault="003E3736" w:rsidP="008E19CC">
      <w:pPr>
        <w:pStyle w:val="Signature"/>
        <w:ind w:left="720" w:hanging="360"/>
      </w:pPr>
      <w:r w:rsidRPr="006B0515">
        <w:t>d.</w:t>
      </w:r>
      <w:r w:rsidRPr="006B0515">
        <w:tab/>
        <w:t>The Permittee shall monitor the emission point from the spray booth</w:t>
      </w:r>
      <w:r w:rsidR="003C0F18" w:rsidRPr="006B0515">
        <w:t>s</w:t>
      </w:r>
      <w:r w:rsidRPr="006B0515">
        <w:t xml:space="preserve"> to ensure that th</w:t>
      </w:r>
      <w:r w:rsidR="001C13A7" w:rsidRPr="006B0515">
        <w:t>e requirements of Condition II(c</w:t>
      </w:r>
      <w:r w:rsidRPr="006B0515">
        <w:t>) are met.</w:t>
      </w:r>
    </w:p>
    <w:p w:rsidR="001C13A7" w:rsidRPr="006B0515" w:rsidRDefault="001C13A7" w:rsidP="008E19CC">
      <w:pPr>
        <w:pStyle w:val="Signature"/>
        <w:ind w:left="720" w:hanging="360"/>
      </w:pPr>
    </w:p>
    <w:p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rsidR="003E3736" w:rsidRPr="006B0515" w:rsidRDefault="003E3736" w:rsidP="008E19CC">
      <w:pPr>
        <w:pStyle w:val="Signature"/>
        <w:ind w:left="720" w:hanging="360"/>
      </w:pPr>
    </w:p>
    <w:p w:rsidR="003E3736" w:rsidRPr="006B0515"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rsidR="00AB6B81" w:rsidRPr="006B0515" w:rsidRDefault="001C13A7" w:rsidP="008E19CC">
      <w:pPr>
        <w:pStyle w:val="Signature"/>
        <w:ind w:left="720" w:hanging="360"/>
      </w:pPr>
      <w:r w:rsidRPr="006B0515">
        <w:lastRenderedPageBreak/>
        <w:t>g</w:t>
      </w:r>
      <w:r w:rsidR="003E3736" w:rsidRPr="006B0515">
        <w:t>.</w:t>
      </w:r>
      <w:r w:rsidR="003E3736" w:rsidRPr="006B0515">
        <w:tab/>
        <w:t>The Permittee shall monitor the maintenance and operational status of the spray booth</w:t>
      </w:r>
      <w:r w:rsidR="003C0F18" w:rsidRPr="006B0515">
        <w:t>s</w:t>
      </w:r>
      <w:r w:rsidR="003E3736" w:rsidRPr="006B0515">
        <w:t xml:space="preserve"> and the activities performed in the spray booth</w:t>
      </w:r>
      <w:r w:rsidR="003C0F18" w:rsidRPr="006B0515">
        <w:t>s</w:t>
      </w:r>
      <w:r w:rsidR="003E3736" w:rsidRPr="006B0515">
        <w:t xml:space="preserve">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(i)</w:t>
      </w:r>
      <w:r w:rsidR="003E3736" w:rsidRPr="006B0515">
        <w:t>.</w:t>
      </w:r>
    </w:p>
    <w:p w:rsidR="00AB6B81" w:rsidRPr="006B0515" w:rsidRDefault="00AB6B81" w:rsidP="008E19CC">
      <w:pPr>
        <w:pStyle w:val="Signature"/>
      </w:pPr>
    </w:p>
    <w:p w:rsidR="0006541E" w:rsidRPr="006B0515" w:rsidRDefault="0006541E" w:rsidP="0006541E">
      <w:pPr>
        <w:pStyle w:val="Signature"/>
        <w:ind w:left="720" w:hanging="360"/>
      </w:pPr>
      <w:r w:rsidRPr="006B0515">
        <w:t>h.</w:t>
      </w:r>
      <w:r w:rsidRPr="006B0515">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Pr="006B0515" w:rsidRDefault="009C507E" w:rsidP="008E19CC">
      <w:pPr>
        <w:pStyle w:val="Signature"/>
      </w:pPr>
      <w:r w:rsidRPr="006B0515">
        <w:t xml:space="preserve"> </w:t>
      </w:r>
    </w:p>
    <w:p w:rsidR="004D5BA3" w:rsidRPr="006B0515" w:rsidRDefault="004D5BA3" w:rsidP="004D5BA3">
      <w:pPr>
        <w:pStyle w:val="Signature"/>
        <w:ind w:left="720" w:hanging="360"/>
      </w:pPr>
      <w:r w:rsidRPr="006B0515">
        <w:t>i.</w:t>
      </w:r>
      <w:r w:rsidRPr="006B0515">
        <w:tab/>
        <w:t xml:space="preserve">The Permittee shall monitor the total quantity of </w:t>
      </w:r>
      <w:r w:rsidRPr="006B0515">
        <w:rPr>
          <w:color w:val="000000"/>
        </w:rPr>
        <w:t xml:space="preserve">MeCl used </w:t>
      </w:r>
      <w:r w:rsidRPr="006B0515">
        <w:t xml:space="preserve">in the paint stripping operations to ensure compliance with Condition III(k). </w:t>
      </w:r>
    </w:p>
    <w:p w:rsidR="004D5BA3" w:rsidRPr="006B0515" w:rsidRDefault="004D5BA3" w:rsidP="008E19CC">
      <w:pPr>
        <w:pStyle w:val="Signature"/>
      </w:pPr>
    </w:p>
    <w:p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rsidR="003E3736" w:rsidRPr="006B0515" w:rsidRDefault="003E3736" w:rsidP="008E19CC">
      <w:pPr>
        <w:pStyle w:val="Signature"/>
        <w:ind w:left="360" w:hanging="360"/>
      </w:pPr>
    </w:p>
    <w:p w:rsidR="003E3736" w:rsidRPr="006B0515" w:rsidRDefault="003E3736" w:rsidP="008E19CC">
      <w:pPr>
        <w:pStyle w:val="Signature"/>
        <w:ind w:left="360"/>
      </w:pPr>
      <w:r w:rsidRPr="006B0515">
        <w:t xml:space="preserve">Starting at the time of permit issuance, the Permittee shall maintain the following records for not less than </w:t>
      </w:r>
      <w:r w:rsidR="00E70B2C" w:rsidRPr="006B0515">
        <w:t>three</w:t>
      </w:r>
      <w:r w:rsidRPr="006B0515">
        <w:t xml:space="preserve"> years from the date of each record</w:t>
      </w:r>
      <w:r w:rsidR="00E70B2C" w:rsidRPr="006B0515">
        <w:t xml:space="preserve">. For </w:t>
      </w:r>
      <w:r w:rsidR="00D52B22" w:rsidRPr="006B0515">
        <w:t>paint stripping operations</w:t>
      </w:r>
      <w:r w:rsidR="00E70B2C" w:rsidRPr="006B0515">
        <w:t xml:space="preserve">, the Permittee shall maintain records for not less than </w:t>
      </w:r>
      <w:r w:rsidR="001B644C" w:rsidRPr="006B0515">
        <w:t>five</w:t>
      </w:r>
      <w:r w:rsidR="00E70B2C" w:rsidRPr="006B0515">
        <w:t xml:space="preserve"> years from the date of each record.</w:t>
      </w:r>
      <w:r w:rsidRPr="006B0515">
        <w:t xml:space="preserve"> [2</w:t>
      </w:r>
      <w:r w:rsidR="00AB6B81" w:rsidRPr="006B0515">
        <w:t>0 DCMR 500.8</w:t>
      </w:r>
      <w:r w:rsidR="004D5BA3" w:rsidRPr="006B0515">
        <w:t xml:space="preserve"> and 40 CFR 63.11178(a)</w:t>
      </w:r>
      <w:r w:rsidRPr="006B0515">
        <w:t>]</w:t>
      </w:r>
    </w:p>
    <w:p w:rsidR="003E3736" w:rsidRPr="006B0515" w:rsidRDefault="003E3736" w:rsidP="008E19CC">
      <w:pPr>
        <w:pStyle w:val="Signature"/>
        <w:ind w:left="360" w:hanging="360"/>
      </w:pPr>
    </w:p>
    <w:p w:rsidR="00E70B2C" w:rsidRPr="006B0515" w:rsidRDefault="003E3736" w:rsidP="00E70B2C">
      <w:pPr>
        <w:pStyle w:val="Signature"/>
        <w:ind w:left="720" w:hanging="360"/>
      </w:pPr>
      <w:r w:rsidRPr="006B0515">
        <w:t>a.</w:t>
      </w:r>
      <w:r w:rsidRPr="006B0515">
        <w:tab/>
        <w:t xml:space="preserve">The Permittee shall maintain records of the </w:t>
      </w:r>
      <w:r w:rsidR="00E70B2C" w:rsidRPr="006B0515">
        <w:t>quantity</w:t>
      </w:r>
      <w:r w:rsidR="004114C4" w:rsidRPr="006B0515">
        <w:t xml:space="preserve">, </w:t>
      </w:r>
      <w:r w:rsidRPr="006B0515">
        <w:t>type</w:t>
      </w:r>
      <w:r w:rsidR="004114C4" w:rsidRPr="006B0515">
        <w:t>, and MeCl content</w:t>
      </w:r>
      <w:r w:rsidRPr="006B0515">
        <w:t xml:space="preserve"> of chemical paint strippers used at the facility as well as their chemical make-up</w:t>
      </w:r>
      <w:r w:rsidR="0003550C" w:rsidRPr="006B0515">
        <w:t xml:space="preserve"> to document compliance with Condition III(a)</w:t>
      </w:r>
      <w:r w:rsidRPr="006B0515">
        <w:t>.</w:t>
      </w:r>
      <w:r w:rsidR="00E70B2C" w:rsidRPr="006B0515">
        <w:t xml:space="preserve"> The quantities of each coating shall be updated daily, and summed monthly</w:t>
      </w:r>
      <w:r w:rsidR="00D52B22" w:rsidRPr="006B0515">
        <w:t xml:space="preserve"> with a cumulative 12-month rolling period calculated and recorded within 15 days of the end of each calendar month for the previous month and the 12-month period ending at the end of that month</w:t>
      </w:r>
      <w:r w:rsidR="00E70B2C" w:rsidRPr="006B0515">
        <w:t>.</w:t>
      </w:r>
    </w:p>
    <w:p w:rsidR="003E3736" w:rsidRPr="006B0515" w:rsidRDefault="003E3736" w:rsidP="008E19CC">
      <w:pPr>
        <w:pStyle w:val="Signature"/>
        <w:ind w:left="720" w:hanging="360"/>
      </w:pPr>
    </w:p>
    <w:p w:rsidR="0006541E" w:rsidRPr="006B0515" w:rsidRDefault="0006541E" w:rsidP="0006541E">
      <w:pPr>
        <w:pStyle w:val="Signature"/>
        <w:ind w:left="720" w:hanging="360"/>
      </w:pPr>
      <w:r w:rsidRPr="006B0515">
        <w:t>b.</w:t>
      </w:r>
      <w:r w:rsidRPr="006B0515">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06541E" w:rsidRPr="006B0515" w:rsidRDefault="0006541E" w:rsidP="0006541E">
      <w:pPr>
        <w:pStyle w:val="Signature"/>
        <w:ind w:left="720" w:hanging="360"/>
      </w:pPr>
    </w:p>
    <w:p w:rsidR="0006541E" w:rsidRPr="006B0515" w:rsidRDefault="0006541E" w:rsidP="0006541E">
      <w:pPr>
        <w:pStyle w:val="Signature"/>
        <w:ind w:left="1080" w:hanging="360"/>
      </w:pPr>
      <w:r w:rsidRPr="006B0515">
        <w:t>1.</w:t>
      </w:r>
      <w:r w:rsidRPr="006B0515">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rsidR="0006541E" w:rsidRPr="006B0515" w:rsidRDefault="0006541E" w:rsidP="0006541E">
      <w:pPr>
        <w:pStyle w:val="Signature"/>
        <w:ind w:left="1080" w:hanging="360"/>
      </w:pPr>
    </w:p>
    <w:p w:rsidR="0006541E" w:rsidRPr="006B0515" w:rsidRDefault="0006541E" w:rsidP="0006541E">
      <w:pPr>
        <w:pStyle w:val="Signature"/>
        <w:ind w:left="1080" w:hanging="360"/>
      </w:pPr>
      <w:r w:rsidRPr="006B0515">
        <w:t>2.</w:t>
      </w:r>
      <w:r w:rsidRPr="006B0515">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Pr="006B0515" w:rsidRDefault="0003550C" w:rsidP="008E19CC">
      <w:pPr>
        <w:pStyle w:val="Signature"/>
        <w:ind w:left="720" w:hanging="360"/>
      </w:pPr>
    </w:p>
    <w:p w:rsidR="0003550C" w:rsidRPr="006B0515" w:rsidRDefault="0003550C" w:rsidP="008E19CC">
      <w:pPr>
        <w:pStyle w:val="Signature"/>
        <w:ind w:left="720" w:hanging="360"/>
      </w:pPr>
      <w:r w:rsidRPr="006B0515">
        <w:t>c.</w:t>
      </w:r>
      <w:r w:rsidRPr="006B0515">
        <w:tab/>
        <w:t xml:space="preserve">Based on the monitoring and calculations required under Condition IV(b) and the records kept under Condition V(b), the Permittee shall determine and keep records of the VOCs </w:t>
      </w:r>
      <w:r w:rsidRPr="006B0515">
        <w:lastRenderedPageBreak/>
        <w:t>emitted from this equipment, in combination with similar VOC emitting equipment at the facility to ensure compliance with Condition II(a).</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rsidR="003E3736" w:rsidRPr="006B0515" w:rsidRDefault="003E3736" w:rsidP="008E19CC">
      <w:pPr>
        <w:pStyle w:val="Signature"/>
      </w:pPr>
    </w:p>
    <w:p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r w:rsidR="003C0F18" w:rsidRPr="006B0515">
        <w:t>s</w:t>
      </w:r>
      <w:r w:rsidR="003E3736" w:rsidRPr="006B0515">
        <w:t>.</w:t>
      </w:r>
    </w:p>
    <w:p w:rsidR="0003550C" w:rsidRPr="006B0515" w:rsidRDefault="0003550C" w:rsidP="008E19CC">
      <w:pPr>
        <w:pStyle w:val="Signature"/>
        <w:ind w:left="720" w:hanging="360"/>
      </w:pPr>
    </w:p>
    <w:p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rsidR="007A2498" w:rsidRDefault="007A2498" w:rsidP="008E19CC">
      <w:pPr>
        <w:pStyle w:val="Signature"/>
        <w:ind w:left="720" w:hanging="360"/>
      </w:pPr>
    </w:p>
    <w:p w:rsidR="007A2498" w:rsidRDefault="007A2498" w:rsidP="008E19CC">
      <w:pPr>
        <w:pStyle w:val="Signature"/>
        <w:ind w:left="720" w:hanging="360"/>
      </w:pPr>
      <w:r>
        <w:t>h.</w:t>
      </w:r>
      <w:r>
        <w:tab/>
        <w:t>The Permittee shall maintain records of any assessments of source compliance performed in support of the initial notification, notification of compliance status, or annual notification of changes report</w:t>
      </w:r>
      <w:r w:rsidR="00F51B0E">
        <w:t xml:space="preserve"> required pursuant to Conditions VI(c) through (e). [40 CFR 63.11177(h)]</w:t>
      </w:r>
    </w:p>
    <w:p w:rsidR="00F51B0E" w:rsidRDefault="00F51B0E" w:rsidP="008E19CC">
      <w:pPr>
        <w:pStyle w:val="Signature"/>
        <w:ind w:left="720" w:hanging="360"/>
      </w:pPr>
    </w:p>
    <w:p w:rsidR="00F51B0E" w:rsidRPr="006B0515" w:rsidRDefault="00F51B0E" w:rsidP="00F51B0E">
      <w:pPr>
        <w:pStyle w:val="Signature"/>
        <w:numPr>
          <w:ilvl w:val="0"/>
          <w:numId w:val="9"/>
        </w:numPr>
        <w:ind w:left="720" w:hanging="360"/>
      </w:pPr>
      <w:r>
        <w:t>The Permittee shall maintain copies of any notifications and reports submitted pursuant to Condition VI. [40 CFR 63.11177(d) and 20 DCMR 500.8]</w:t>
      </w:r>
    </w:p>
    <w:p w:rsidR="00BF44ED" w:rsidRPr="006B0515" w:rsidRDefault="00BF44ED" w:rsidP="008E19CC">
      <w:pPr>
        <w:pStyle w:val="Signature"/>
        <w:ind w:left="720" w:hanging="360"/>
      </w:pPr>
    </w:p>
    <w:p w:rsidR="003E3736" w:rsidRPr="006B0515" w:rsidRDefault="004B3C68" w:rsidP="008E19CC">
      <w:pPr>
        <w:pStyle w:val="Signature"/>
        <w:ind w:left="360" w:hanging="360"/>
      </w:pPr>
      <w:r w:rsidRPr="006B0515">
        <w:t>VI.</w:t>
      </w:r>
      <w:r w:rsidR="003E3736" w:rsidRPr="006B0515">
        <w:t xml:space="preserve"> </w:t>
      </w:r>
      <w:r w:rsidR="00A521EE">
        <w:rPr>
          <w:u w:val="single"/>
        </w:rPr>
        <w:t xml:space="preserve">Notification and </w:t>
      </w:r>
      <w:r w:rsidR="003E3736" w:rsidRPr="006B0515">
        <w:rPr>
          <w:u w:val="single"/>
        </w:rPr>
        <w:t>Reporting Requirements</w:t>
      </w:r>
      <w:r w:rsidR="003E3736" w:rsidRPr="006B0515">
        <w:t>:</w:t>
      </w:r>
    </w:p>
    <w:p w:rsidR="003E3736" w:rsidRPr="006B0515" w:rsidRDefault="003E3736" w:rsidP="008E19CC">
      <w:pPr>
        <w:pStyle w:val="Signature"/>
      </w:pPr>
    </w:p>
    <w:p w:rsidR="003E3736" w:rsidRPr="006B0515" w:rsidRDefault="00371EB3" w:rsidP="008E19CC">
      <w:pPr>
        <w:ind w:left="720" w:hanging="360"/>
        <w:jc w:val="both"/>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w:t>
      </w:r>
      <w:r w:rsidR="0030295C">
        <w:t>The general phone number for the Department is (202) 535-2600.</w:t>
      </w:r>
    </w:p>
    <w:p w:rsidR="00B35FA2" w:rsidRPr="006B0515" w:rsidRDefault="00B35FA2" w:rsidP="008E19CC">
      <w:pPr>
        <w:ind w:left="720" w:hanging="360"/>
        <w:jc w:val="both"/>
      </w:pPr>
    </w:p>
    <w:p w:rsidR="003E3736" w:rsidRPr="006B0515" w:rsidRDefault="00371EB3" w:rsidP="008E19CC">
      <w:pPr>
        <w:ind w:left="720" w:hanging="360"/>
        <w:jc w:val="both"/>
      </w:pPr>
      <w:r w:rsidRPr="006B0515">
        <w:t>b</w:t>
      </w:r>
      <w:r w:rsidR="003E3736" w:rsidRPr="006B0515">
        <w:t>.</w:t>
      </w:r>
      <w:r w:rsidR="003E3736" w:rsidRPr="006B0515">
        <w:tab/>
        <w:t xml:space="preserve">In addition to complying with Condition </w:t>
      </w:r>
      <w:proofErr w:type="gramStart"/>
      <w:r w:rsidR="003E3736" w:rsidRPr="006B0515">
        <w:t>VI(</w:t>
      </w:r>
      <w:proofErr w:type="gramEnd"/>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rsidR="003E3736" w:rsidRPr="006B0515" w:rsidRDefault="003E3736" w:rsidP="008E19CC">
      <w:pPr>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subject source(s) that failed, experienced the emergency, or caused the excess emissions;</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time and date of the first observation of the equipment failure, emergency, or excess emissions;</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rsidR="003E3736" w:rsidRPr="006B0515" w:rsidRDefault="003E3736" w:rsidP="008E19CC">
      <w:pPr>
        <w:numPr>
          <w:ilvl w:val="2"/>
          <w:numId w:val="1"/>
        </w:numPr>
        <w:tabs>
          <w:tab w:val="clear" w:pos="1224"/>
          <w:tab w:val="left" w:pos="144"/>
          <w:tab w:val="num" w:pos="1080"/>
        </w:tabs>
        <w:ind w:left="1080" w:hanging="360"/>
        <w:jc w:val="both"/>
      </w:pPr>
      <w:r w:rsidRPr="006B0515">
        <w:lastRenderedPageBreak/>
        <w:t>The proposed corrective actions and schedule to correct the conditions causing the emergency or excess emissions.</w:t>
      </w:r>
      <w:r w:rsidRPr="006B0515">
        <w:tab/>
      </w:r>
    </w:p>
    <w:p w:rsidR="004D7527" w:rsidRPr="006B0515" w:rsidRDefault="004D7527" w:rsidP="004D7527">
      <w:pPr>
        <w:tabs>
          <w:tab w:val="left" w:pos="144"/>
        </w:tabs>
        <w:ind w:left="1080"/>
        <w:jc w:val="both"/>
      </w:pPr>
    </w:p>
    <w:p w:rsidR="00A521EE" w:rsidRDefault="00A521EE" w:rsidP="00F468E7">
      <w:pPr>
        <w:pStyle w:val="ListParagraph"/>
        <w:numPr>
          <w:ilvl w:val="0"/>
          <w:numId w:val="2"/>
        </w:numPr>
        <w:jc w:val="both"/>
      </w:pPr>
      <w:r>
        <w:t xml:space="preserve">Initial Notification: If not already completed, the Permittee shall immediately submit the initial notification required by 40 CFR 63.11175 to the U.S. Environmental Protection Agency </w:t>
      </w:r>
      <w:r w:rsidR="004F14FB">
        <w:t xml:space="preserve">(EPA) </w:t>
      </w:r>
      <w:r>
        <w:t xml:space="preserve">and the Department. </w:t>
      </w:r>
      <w:r w:rsidRPr="00F468E7">
        <w:rPr>
          <w:i/>
        </w:rPr>
        <w:t>Note that this notification was due no later than January 11, 2010 for sources that commenced construction on or before September 17, 2007 or within 180 days after startup or July 7, 2008, whichever is later, for sources that commenced construction after September 17, 2007.</w:t>
      </w:r>
      <w:r w:rsidR="00F468E7">
        <w:t xml:space="preserve"> This initial notification must provide the following information:</w:t>
      </w:r>
    </w:p>
    <w:p w:rsidR="00F468E7" w:rsidRDefault="00F468E7" w:rsidP="00F468E7">
      <w:pPr>
        <w:pStyle w:val="ListParagraph"/>
        <w:ind w:left="1080" w:hanging="360"/>
        <w:jc w:val="both"/>
      </w:pPr>
    </w:p>
    <w:p w:rsidR="00F468E7" w:rsidRDefault="00F468E7" w:rsidP="00F468E7">
      <w:pPr>
        <w:pStyle w:val="ListParagraph"/>
        <w:numPr>
          <w:ilvl w:val="0"/>
          <w:numId w:val="3"/>
        </w:numPr>
        <w:jc w:val="both"/>
      </w:pPr>
      <w:r>
        <w:t>The company name, if applicable;</w:t>
      </w:r>
    </w:p>
    <w:p w:rsidR="00F468E7" w:rsidRDefault="00F468E7" w:rsidP="00F468E7">
      <w:pPr>
        <w:pStyle w:val="ListParagraph"/>
        <w:ind w:left="1080"/>
        <w:jc w:val="both"/>
      </w:pPr>
    </w:p>
    <w:p w:rsidR="00F468E7" w:rsidRDefault="00F468E7" w:rsidP="00F468E7">
      <w:pPr>
        <w:pStyle w:val="ListParagraph"/>
        <w:numPr>
          <w:ilvl w:val="0"/>
          <w:numId w:val="3"/>
        </w:numPr>
        <w:jc w:val="both"/>
      </w:pPr>
      <w:r w:rsidRPr="00F468E7">
        <w:t>The name, title, street address, telephone number, e-mail address (if available), and signature of the owner and operator, or other certifying company official;</w:t>
      </w:r>
    </w:p>
    <w:p w:rsidR="00F468E7" w:rsidRDefault="00F468E7" w:rsidP="00F468E7">
      <w:pPr>
        <w:pStyle w:val="ListParagraph"/>
      </w:pPr>
    </w:p>
    <w:p w:rsidR="00F468E7" w:rsidRDefault="00F468E7" w:rsidP="00F468E7">
      <w:pPr>
        <w:pStyle w:val="ListParagraph"/>
        <w:numPr>
          <w:ilvl w:val="0"/>
          <w:numId w:val="3"/>
        </w:numPr>
        <w:jc w:val="both"/>
      </w:pPr>
      <w:r w:rsidRPr="00F468E7">
        <w:t>The street address (physical location) of the affected source and the street address where compliance recor</w:t>
      </w:r>
      <w:r>
        <w:t>ds are maintained, if different;</w:t>
      </w:r>
    </w:p>
    <w:p w:rsidR="00F468E7" w:rsidRDefault="00F468E7" w:rsidP="00F468E7">
      <w:pPr>
        <w:pStyle w:val="ListParagraph"/>
      </w:pPr>
    </w:p>
    <w:p w:rsidR="00F468E7" w:rsidRDefault="00F468E7" w:rsidP="00F468E7">
      <w:pPr>
        <w:pStyle w:val="ListParagraph"/>
        <w:numPr>
          <w:ilvl w:val="0"/>
          <w:numId w:val="3"/>
        </w:numPr>
        <w:jc w:val="both"/>
      </w:pPr>
      <w:r w:rsidRPr="00F468E7">
        <w:t>An identification of the relevant standard (i</w:t>
      </w:r>
      <w:r>
        <w:t xml:space="preserve">.e., </w:t>
      </w:r>
      <w:r w:rsidRPr="00F468E7">
        <w:t>40 CFR part 63, subpart HHHHHH);</w:t>
      </w:r>
    </w:p>
    <w:p w:rsidR="00F468E7" w:rsidRDefault="00F468E7" w:rsidP="00F468E7">
      <w:pPr>
        <w:pStyle w:val="ListParagraph"/>
      </w:pPr>
    </w:p>
    <w:p w:rsidR="00F468E7" w:rsidRDefault="00F468E7" w:rsidP="00F468E7">
      <w:pPr>
        <w:pStyle w:val="ListParagraph"/>
        <w:numPr>
          <w:ilvl w:val="0"/>
          <w:numId w:val="3"/>
        </w:numPr>
        <w:jc w:val="both"/>
      </w:pPr>
      <w:r w:rsidRPr="00F468E7">
        <w:t xml:space="preserve">A brief description of the type of operation as specified in paragraph </w:t>
      </w:r>
      <w:r w:rsidR="00C6404B">
        <w:t>VI</w:t>
      </w:r>
      <w:r w:rsidRPr="00F468E7">
        <w:t>(</w:t>
      </w:r>
      <w:r>
        <w:t>c)(5)(</w:t>
      </w:r>
      <w:proofErr w:type="spellStart"/>
      <w:r>
        <w:t>i</w:t>
      </w:r>
      <w:proofErr w:type="spellEnd"/>
      <w:r>
        <w:t>) or (ii):</w:t>
      </w:r>
    </w:p>
    <w:p w:rsidR="00F468E7" w:rsidRDefault="00F468E7" w:rsidP="00F468E7">
      <w:pPr>
        <w:pStyle w:val="ListParagraph"/>
      </w:pPr>
    </w:p>
    <w:p w:rsidR="00F468E7" w:rsidRDefault="00F468E7" w:rsidP="00F468E7">
      <w:pPr>
        <w:pStyle w:val="ListParagraph"/>
        <w:numPr>
          <w:ilvl w:val="0"/>
          <w:numId w:val="4"/>
        </w:numPr>
        <w:ind w:left="1440" w:hanging="360"/>
        <w:jc w:val="both"/>
      </w:pPr>
      <w:r w:rsidRPr="00F468E7">
        <w:t>For all surface coating operations, indicate whether the source is a motor vehicle and mobile equipment surface coating operation or a miscellaneous surface coating operation, and include the number of spray booths and preparation stations, and the number of painters us</w:t>
      </w:r>
      <w:r>
        <w:t>ually employed at the operation;</w:t>
      </w:r>
    </w:p>
    <w:p w:rsidR="00F468E7" w:rsidRDefault="00F468E7" w:rsidP="00F468E7">
      <w:pPr>
        <w:pStyle w:val="ListParagraph"/>
        <w:ind w:left="1440"/>
        <w:jc w:val="both"/>
      </w:pPr>
    </w:p>
    <w:p w:rsidR="00F468E7" w:rsidRDefault="00F468E7" w:rsidP="00F468E7">
      <w:pPr>
        <w:pStyle w:val="ListParagraph"/>
        <w:numPr>
          <w:ilvl w:val="0"/>
          <w:numId w:val="4"/>
        </w:numPr>
        <w:ind w:left="1440" w:hanging="360"/>
        <w:jc w:val="both"/>
      </w:pPr>
      <w:r w:rsidRPr="00F468E7">
        <w:t>For paint stripping operations, identify the method(s) of paint stripping employed (e.g., chemical, mechanical) and the substrates stripp</w:t>
      </w:r>
      <w:r>
        <w:t>ed (e.g., wood, plastic, metal);</w:t>
      </w:r>
    </w:p>
    <w:p w:rsidR="00F468E7" w:rsidRDefault="00F468E7" w:rsidP="00F468E7">
      <w:pPr>
        <w:pStyle w:val="ListParagraph"/>
      </w:pPr>
    </w:p>
    <w:p w:rsidR="00F468E7" w:rsidRDefault="00F468E7" w:rsidP="00F468E7">
      <w:pPr>
        <w:pStyle w:val="ListParagraph"/>
        <w:numPr>
          <w:ilvl w:val="0"/>
          <w:numId w:val="3"/>
        </w:numPr>
        <w:jc w:val="both"/>
      </w:pPr>
      <w:r w:rsidRPr="00F468E7">
        <w:t xml:space="preserve">Each paint stripping operation must indicate whether they plan to annually use more than one ton of </w:t>
      </w:r>
      <w:proofErr w:type="spellStart"/>
      <w:r w:rsidRPr="00F468E7">
        <w:t>MeCl</w:t>
      </w:r>
      <w:proofErr w:type="spellEnd"/>
      <w:r w:rsidRPr="00F468E7">
        <w:t xml:space="preserve"> after the compliance date.</w:t>
      </w:r>
    </w:p>
    <w:p w:rsidR="00F468E7" w:rsidRDefault="00F468E7" w:rsidP="00F468E7">
      <w:pPr>
        <w:pStyle w:val="ListParagraph"/>
        <w:ind w:left="1080"/>
        <w:jc w:val="both"/>
      </w:pPr>
    </w:p>
    <w:p w:rsidR="00F468E7" w:rsidRDefault="00F468E7" w:rsidP="00F468E7">
      <w:pPr>
        <w:pStyle w:val="ListParagraph"/>
        <w:numPr>
          <w:ilvl w:val="0"/>
          <w:numId w:val="3"/>
        </w:numPr>
        <w:jc w:val="both"/>
      </w:pPr>
      <w:r w:rsidRPr="00F468E7">
        <w:t xml:space="preserve">A statement of whether the source is already in compliance with each of the relevant requirements of </w:t>
      </w:r>
      <w:r>
        <w:t>40 CFR 63, Subpart HHHHHH</w:t>
      </w:r>
      <w:r w:rsidRPr="00F468E7">
        <w:t xml:space="preserve">, or whether the source will be brought into compliance by the compliance date. For paint stripping operations, the relevant requirements that </w:t>
      </w:r>
      <w:r w:rsidR="00C6404B">
        <w:t>the Permittee</w:t>
      </w:r>
      <w:r w:rsidRPr="00F468E7">
        <w:t xml:space="preserve"> must evaluate in making this determination are specified in § 63.11173(a) through (d) of this </w:t>
      </w:r>
      <w:r>
        <w:t>40 CFR 63, Subpart HHHHHH</w:t>
      </w:r>
      <w:r w:rsidRPr="00F468E7">
        <w:t xml:space="preserve">. For surface coating operations, the relevant requirements are specified in § 63.11173(e) through (g) of </w:t>
      </w:r>
      <w:r>
        <w:t>40 CFR 63, Subpart HHHHHH</w:t>
      </w:r>
      <w:r w:rsidRPr="00F468E7">
        <w:t>.</w:t>
      </w:r>
    </w:p>
    <w:p w:rsidR="00F468E7" w:rsidRDefault="00F468E7" w:rsidP="00F468E7">
      <w:pPr>
        <w:pStyle w:val="ListParagraph"/>
      </w:pPr>
    </w:p>
    <w:p w:rsidR="00F468E7" w:rsidRPr="00F468E7" w:rsidRDefault="00F468E7" w:rsidP="00F468E7">
      <w:pPr>
        <w:pStyle w:val="ListParagraph"/>
        <w:numPr>
          <w:ilvl w:val="0"/>
          <w:numId w:val="3"/>
        </w:numPr>
        <w:jc w:val="both"/>
      </w:pPr>
      <w:r w:rsidRPr="00F468E7">
        <w:lastRenderedPageBreak/>
        <w:t xml:space="preserve">If </w:t>
      </w:r>
      <w:r w:rsidR="00C6404B">
        <w:t>the</w:t>
      </w:r>
      <w:r w:rsidRPr="00F468E7">
        <w:t xml:space="preserve"> source is a new source</w:t>
      </w:r>
      <w:r>
        <w:t xml:space="preserve"> (i.e. construction commenced after September 17, 2007)</w:t>
      </w:r>
      <w:r w:rsidRPr="00F468E7">
        <w:t xml:space="preserve">, </w:t>
      </w:r>
      <w:r w:rsidR="00C6404B">
        <w:t>the Permittee</w:t>
      </w:r>
      <w:r w:rsidRPr="00F468E7">
        <w:t xml:space="preserve"> must certify in the initial notification whether the source is in compliance with each of the requirements of this subpart. If</w:t>
      </w:r>
      <w:r w:rsidR="00C6404B">
        <w:t xml:space="preserve"> the</w:t>
      </w:r>
      <w:r w:rsidRPr="00F468E7">
        <w:t xml:space="preserve"> source is an existing source</w:t>
      </w:r>
      <w:r>
        <w:t xml:space="preserve"> (i.e. construction commenced on or before September 17, 2007)</w:t>
      </w:r>
      <w:r w:rsidRPr="00F468E7">
        <w:t xml:space="preserve">, </w:t>
      </w:r>
      <w:r w:rsidR="00C6404B">
        <w:t>the Permittee</w:t>
      </w:r>
      <w:r w:rsidRPr="00F468E7">
        <w:t xml:space="preserve"> may certify in the initial notification that the source is already in compliance. If </w:t>
      </w:r>
      <w:r w:rsidR="00C6404B">
        <w:t>the Permittee is</w:t>
      </w:r>
      <w:r w:rsidRPr="00F468E7">
        <w:t xml:space="preserve"> certifying in the initial notification that the source is in compliance with the relevant requirements of this subpart,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w:t>
      </w:r>
    </w:p>
    <w:p w:rsidR="00A521EE" w:rsidRDefault="00A521EE" w:rsidP="004D7527">
      <w:pPr>
        <w:pStyle w:val="ListParagraph"/>
        <w:ind w:hanging="360"/>
        <w:jc w:val="both"/>
      </w:pPr>
    </w:p>
    <w:p w:rsidR="00A521EE" w:rsidRDefault="00C6404B" w:rsidP="00C6404B">
      <w:pPr>
        <w:pStyle w:val="ListParagraph"/>
        <w:numPr>
          <w:ilvl w:val="0"/>
          <w:numId w:val="2"/>
        </w:numPr>
        <w:jc w:val="both"/>
      </w:pPr>
      <w:r>
        <w:t xml:space="preserve">Notification of Compliance Status: </w:t>
      </w:r>
      <w:r w:rsidRPr="00C6404B">
        <w:t xml:space="preserve">If </w:t>
      </w:r>
      <w:r>
        <w:t>the Permittee is</w:t>
      </w:r>
      <w:r w:rsidRPr="00C6404B">
        <w:t xml:space="preserve"> the owner or operator of a new source, </w:t>
      </w:r>
      <w:r w:rsidR="0079394C">
        <w:t>the Permittee is</w:t>
      </w:r>
      <w:r w:rsidRPr="00C6404B">
        <w:t xml:space="preserve"> not required to submit a separate notification of compliance status in addition to the initial notification specified in </w:t>
      </w:r>
      <w:r>
        <w:t>Condition VI(c)</w:t>
      </w:r>
      <w:r w:rsidRPr="00C6404B">
        <w:t xml:space="preserve"> provided </w:t>
      </w:r>
      <w:r>
        <w:t>the Permittee was</w:t>
      </w:r>
      <w:r w:rsidRPr="00C6404B">
        <w:t xml:space="preserve"> able to certify compliance on the date of the initial notification, as part of the initial notification, and </w:t>
      </w:r>
      <w:r>
        <w:t>the</w:t>
      </w:r>
      <w:r w:rsidRPr="00C6404B">
        <w:t xml:space="preserve"> compliance status has not since changed. If </w:t>
      </w:r>
      <w:r>
        <w:t>the Permittee is</w:t>
      </w:r>
      <w:r w:rsidRPr="00C6404B">
        <w:t xml:space="preserve"> the owner or operator of any existing source and did not certify in the initial notification that your source is already in compliance as specified in </w:t>
      </w:r>
      <w:r>
        <w:t>Condition VI(c)</w:t>
      </w:r>
      <w:r w:rsidRPr="00C6404B">
        <w:t xml:space="preserve">, then </w:t>
      </w:r>
      <w:r>
        <w:t>the Permittee</w:t>
      </w:r>
      <w:r w:rsidRPr="00C6404B">
        <w:t xml:space="preserve"> must submit a notification of compliance status. </w:t>
      </w:r>
      <w:r>
        <w:t>Pursuant to 40 CFR 63.11175(b) the regulatory requirement was to have submitted</w:t>
      </w:r>
      <w:r w:rsidRPr="00C6404B">
        <w:t xml:space="preserve"> a Notification of Compliance Status on or before March 11, 2011.</w:t>
      </w:r>
      <w:r>
        <w:t xml:space="preserve"> If the Permittee was required to submit such a notification and did not do so, this notification must be immediately submitted. </w:t>
      </w:r>
      <w:r>
        <w:rPr>
          <w:i/>
        </w:rPr>
        <w:t>Note that this permit condition does not absolve the Permittee of not having met this requirement in the past, if it was applicable and not met, but rather establishes a method to return to</w:t>
      </w:r>
      <w:r w:rsidR="007A2498">
        <w:rPr>
          <w:i/>
        </w:rPr>
        <w:t xml:space="preserve"> </w:t>
      </w:r>
      <w:r>
        <w:rPr>
          <w:i/>
        </w:rPr>
        <w:t>compliance.</w:t>
      </w:r>
      <w:r w:rsidRPr="00C6404B">
        <w:t xml:space="preserve"> </w:t>
      </w:r>
      <w:r>
        <w:t>The Permittee shall</w:t>
      </w:r>
      <w:r w:rsidRPr="00C6404B">
        <w:t xml:space="preserve"> to submit the information specified in </w:t>
      </w:r>
      <w:r>
        <w:t>Conditions VI</w:t>
      </w:r>
      <w:r w:rsidRPr="00C6404B">
        <w:t>(</w:t>
      </w:r>
      <w:r>
        <w:t>d</w:t>
      </w:r>
      <w:r w:rsidR="00D93081">
        <w:t>)(1) through (3</w:t>
      </w:r>
      <w:r w:rsidRPr="00C6404B">
        <w:t xml:space="preserve">) with </w:t>
      </w:r>
      <w:r>
        <w:t>the</w:t>
      </w:r>
      <w:r w:rsidRPr="00C6404B">
        <w:t xml:space="preserve"> Notification of Compliance Status</w:t>
      </w:r>
      <w:r w:rsidR="00D93081">
        <w:t xml:space="preserve"> [40 CFR 63.11175(b)]</w:t>
      </w:r>
      <w:r w:rsidRPr="00C6404B">
        <w:t>:</w:t>
      </w:r>
    </w:p>
    <w:p w:rsidR="00D93081" w:rsidRDefault="00D93081" w:rsidP="00D93081">
      <w:pPr>
        <w:pStyle w:val="ListParagraph"/>
        <w:jc w:val="both"/>
      </w:pPr>
    </w:p>
    <w:p w:rsidR="00D93081" w:rsidRDefault="00D93081" w:rsidP="00D93081">
      <w:pPr>
        <w:pStyle w:val="ListParagraph"/>
        <w:numPr>
          <w:ilvl w:val="0"/>
          <w:numId w:val="10"/>
        </w:numPr>
        <w:jc w:val="both"/>
      </w:pPr>
      <w:r>
        <w:t xml:space="preserve">The </w:t>
      </w:r>
      <w:proofErr w:type="spellStart"/>
      <w:r>
        <w:t>Permittee’s</w:t>
      </w:r>
      <w:proofErr w:type="spellEnd"/>
      <w:r>
        <w:t xml:space="preserve"> </w:t>
      </w:r>
      <w:r w:rsidRPr="00D93081">
        <w:t>company's name and the street address (physical location) of the affected source and the street address where compliance recor</w:t>
      </w:r>
      <w:r w:rsidR="0079394C">
        <w:t>ds are maintained, if different.</w:t>
      </w:r>
    </w:p>
    <w:p w:rsidR="00D93081" w:rsidRDefault="00D93081" w:rsidP="00D93081">
      <w:pPr>
        <w:pStyle w:val="ListParagraph"/>
        <w:ind w:left="1080"/>
        <w:jc w:val="both"/>
      </w:pPr>
    </w:p>
    <w:p w:rsidR="00D93081" w:rsidRDefault="00D93081" w:rsidP="00D93081">
      <w:pPr>
        <w:pStyle w:val="ListParagraph"/>
        <w:numPr>
          <w:ilvl w:val="0"/>
          <w:numId w:val="10"/>
        </w:numPr>
        <w:jc w:val="both"/>
      </w:pPr>
      <w:r w:rsidRPr="00D93081">
        <w:t xml:space="preserve">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subpart or an explanation of any noncompliance and a description of corrective actions being taken to achieve compliance. For </w:t>
      </w:r>
      <w:r>
        <w:t>this paint stripping source</w:t>
      </w:r>
      <w:r w:rsidRPr="00D93081">
        <w:t xml:space="preserve">, the relevant requirements that </w:t>
      </w:r>
      <w:r>
        <w:t>the Permittee</w:t>
      </w:r>
      <w:r w:rsidRPr="00D93081">
        <w:t xml:space="preserve"> must evaluate in making this determination are specified in </w:t>
      </w:r>
      <w:r w:rsidR="0079394C">
        <w:t xml:space="preserve">Condition </w:t>
      </w:r>
      <w:proofErr w:type="gramStart"/>
      <w:r w:rsidR="0079394C">
        <w:t>III(</w:t>
      </w:r>
      <w:proofErr w:type="gramEnd"/>
      <w:r w:rsidR="0079394C">
        <w:t>a) and V(a)</w:t>
      </w:r>
      <w:r w:rsidRPr="00D93081">
        <w:t xml:space="preserve">. </w:t>
      </w:r>
    </w:p>
    <w:p w:rsidR="00D93081" w:rsidRDefault="00D93081" w:rsidP="00D93081">
      <w:pPr>
        <w:pStyle w:val="ListParagraph"/>
      </w:pPr>
    </w:p>
    <w:p w:rsidR="00C6404B" w:rsidRDefault="00D93081" w:rsidP="00D93081">
      <w:pPr>
        <w:pStyle w:val="ListParagraph"/>
        <w:numPr>
          <w:ilvl w:val="0"/>
          <w:numId w:val="10"/>
        </w:numPr>
        <w:jc w:val="both"/>
      </w:pPr>
      <w:r w:rsidRPr="00D93081">
        <w:t>The date of the Notification of Compliance Status.</w:t>
      </w:r>
    </w:p>
    <w:p w:rsidR="0022702F" w:rsidRDefault="0022702F" w:rsidP="0022702F">
      <w:pPr>
        <w:pStyle w:val="ListParagraph"/>
        <w:numPr>
          <w:ilvl w:val="0"/>
          <w:numId w:val="6"/>
        </w:numPr>
        <w:jc w:val="both"/>
      </w:pPr>
      <w:r>
        <w:lastRenderedPageBreak/>
        <w:t>Annual Notification of Changes Report: I</w:t>
      </w:r>
      <w:r w:rsidRPr="0022702F">
        <w:t xml:space="preserve">f </w:t>
      </w:r>
      <w:r>
        <w:t>the Permittee is</w:t>
      </w:r>
      <w:r w:rsidRPr="0022702F">
        <w:t xml:space="preserve"> the owner or operator of a paint stripping, motor vehicle or mobile equipment, or miscellaneous surface coating affected source, </w:t>
      </w:r>
      <w:r>
        <w:t>the Permittee is</w:t>
      </w:r>
      <w:r w:rsidRPr="0022702F">
        <w:t xml:space="preserve"> required to submit a report in each calendar year in which information previously submitted in either the initial notification required by</w:t>
      </w:r>
      <w:r>
        <w:t xml:space="preserve"> Condition VI(c) and 40 CFR </w:t>
      </w:r>
      <w:r w:rsidRPr="0022702F">
        <w:t xml:space="preserve">63.11175(a), Notification of Compliance, or a previous annual notification of changes report submitted under this paragraph, has changed. Deviations from the relevant requirements in </w:t>
      </w:r>
      <w:r>
        <w:t xml:space="preserve">Condition </w:t>
      </w:r>
      <w:proofErr w:type="gramStart"/>
      <w:r>
        <w:t>III(</w:t>
      </w:r>
      <w:proofErr w:type="gramEnd"/>
      <w:r>
        <w:t>a)</w:t>
      </w:r>
      <w:r w:rsidR="007A2498">
        <w:t xml:space="preserve"> and V(a)</w:t>
      </w:r>
      <w:r w:rsidRPr="0022702F">
        <w:t xml:space="preserve"> on the date of the report will be deemed to be a change. This includes notification when paint stripping affected sources that have not developed and implemented a written </w:t>
      </w:r>
      <w:proofErr w:type="spellStart"/>
      <w:r w:rsidRPr="0022702F">
        <w:t>MeCl</w:t>
      </w:r>
      <w:proofErr w:type="spellEnd"/>
      <w:r w:rsidRPr="0022702F">
        <w:t xml:space="preserve"> minimization plan in accordance with </w:t>
      </w:r>
      <w:r w:rsidR="007A2498">
        <w:t>40 CFR</w:t>
      </w:r>
      <w:r w:rsidRPr="0022702F">
        <w:t xml:space="preserve"> 63.11173(b) used more than one ton of </w:t>
      </w:r>
      <w:proofErr w:type="spellStart"/>
      <w:r w:rsidRPr="0022702F">
        <w:t>MeCl</w:t>
      </w:r>
      <w:proofErr w:type="spellEnd"/>
      <w:r w:rsidRPr="0022702F">
        <w:t xml:space="preserve"> in the previous calendar year</w:t>
      </w:r>
      <w:r w:rsidR="007A2498">
        <w:t xml:space="preserve"> (should this be permitted via a subsequent permit amendment – see Condition III(k))</w:t>
      </w:r>
      <w:r w:rsidRPr="0022702F">
        <w:t xml:space="preserve">. The annual notification of changes report must be submitted prior to March 1 of each calendar year when reportable changes have occurred and must include the information specified in </w:t>
      </w:r>
      <w:r>
        <w:t>Conditions VI</w:t>
      </w:r>
      <w:r w:rsidRPr="0022702F">
        <w:t>(</w:t>
      </w:r>
      <w:r>
        <w:t>e</w:t>
      </w:r>
      <w:r w:rsidRPr="0022702F">
        <w:t>)</w:t>
      </w:r>
      <w:r>
        <w:t>(1) through (2) as follows [40 CFR 63.11176]:</w:t>
      </w:r>
    </w:p>
    <w:p w:rsidR="0079394C" w:rsidRDefault="0079394C" w:rsidP="0079394C">
      <w:pPr>
        <w:pStyle w:val="ListParagraph"/>
        <w:jc w:val="both"/>
      </w:pPr>
    </w:p>
    <w:p w:rsidR="0022702F" w:rsidRDefault="0022702F" w:rsidP="0022702F">
      <w:pPr>
        <w:pStyle w:val="ListParagraph"/>
        <w:numPr>
          <w:ilvl w:val="0"/>
          <w:numId w:val="7"/>
        </w:numPr>
        <w:jc w:val="both"/>
      </w:pPr>
      <w:r>
        <w:t xml:space="preserve">The </w:t>
      </w:r>
      <w:proofErr w:type="spellStart"/>
      <w:r>
        <w:t>Permittee’s</w:t>
      </w:r>
      <w:proofErr w:type="spellEnd"/>
      <w:r w:rsidRPr="0022702F">
        <w:t xml:space="preserve"> company's name and the street address (physical location) of the affected source and the street address where compliance recor</w:t>
      </w:r>
      <w:r>
        <w:t>ds are maintained, if different; and</w:t>
      </w:r>
    </w:p>
    <w:p w:rsidR="0022702F" w:rsidRDefault="0022702F" w:rsidP="0022702F">
      <w:pPr>
        <w:pStyle w:val="ListParagraph"/>
        <w:ind w:left="1080"/>
        <w:jc w:val="both"/>
      </w:pPr>
    </w:p>
    <w:p w:rsidR="0022702F" w:rsidRDefault="0022702F" w:rsidP="0022702F">
      <w:pPr>
        <w:pStyle w:val="ListParagraph"/>
        <w:numPr>
          <w:ilvl w:val="0"/>
          <w:numId w:val="7"/>
        </w:numPr>
        <w:jc w:val="both"/>
      </w:pPr>
      <w:r w:rsidRPr="0022702F">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subpart or an explanation of any noncompliance and a description of corrective actions being taken to achieve compliance.</w:t>
      </w:r>
    </w:p>
    <w:p w:rsidR="0022702F" w:rsidRDefault="0022702F" w:rsidP="004D7527">
      <w:pPr>
        <w:pStyle w:val="ListParagraph"/>
        <w:ind w:hanging="360"/>
        <w:jc w:val="both"/>
      </w:pPr>
    </w:p>
    <w:p w:rsidR="004F14FB" w:rsidRDefault="004F14FB" w:rsidP="0022702F">
      <w:pPr>
        <w:pStyle w:val="ListParagraph"/>
        <w:numPr>
          <w:ilvl w:val="0"/>
          <w:numId w:val="6"/>
        </w:numPr>
        <w:jc w:val="both"/>
      </w:pPr>
      <w:r>
        <w:t>Reports and notifications required under Condition VI of this permit shall be submitted to the Department and EPA at the following addresses, as applicable [</w:t>
      </w:r>
      <w:r w:rsidR="00712621">
        <w:t>40 CFR 63.13 and 20 DCMR 1409.1]</w:t>
      </w:r>
      <w:r>
        <w:t>:</w:t>
      </w:r>
    </w:p>
    <w:p w:rsidR="004F14FB" w:rsidRDefault="004F14FB" w:rsidP="004F14FB">
      <w:pPr>
        <w:pStyle w:val="ListParagraph"/>
      </w:pPr>
    </w:p>
    <w:p w:rsidR="004F14FB" w:rsidRDefault="004F14FB" w:rsidP="004F14FB">
      <w:pPr>
        <w:pStyle w:val="ListParagraph"/>
        <w:numPr>
          <w:ilvl w:val="0"/>
          <w:numId w:val="5"/>
        </w:numPr>
        <w:jc w:val="both"/>
      </w:pPr>
      <w:r>
        <w:t>EPA Region 3</w:t>
      </w:r>
    </w:p>
    <w:p w:rsidR="004F14FB" w:rsidRDefault="004F14FB" w:rsidP="004F14FB">
      <w:pPr>
        <w:pStyle w:val="ListParagraph"/>
        <w:ind w:left="1080"/>
        <w:jc w:val="both"/>
      </w:pPr>
      <w:r>
        <w:t>Attn: Director, Air Protection Division</w:t>
      </w:r>
    </w:p>
    <w:p w:rsidR="004F14FB" w:rsidRDefault="004F14FB" w:rsidP="004F14FB">
      <w:pPr>
        <w:pStyle w:val="ListParagraph"/>
        <w:ind w:left="1080"/>
        <w:jc w:val="both"/>
      </w:pPr>
      <w:r>
        <w:t>1650 Arch Street</w:t>
      </w:r>
    </w:p>
    <w:p w:rsidR="004F14FB" w:rsidRDefault="004F14FB" w:rsidP="004F14FB">
      <w:pPr>
        <w:pStyle w:val="ListParagraph"/>
        <w:ind w:left="1080"/>
        <w:jc w:val="both"/>
      </w:pPr>
      <w:r>
        <w:t>Philadelphia PA 19103</w:t>
      </w:r>
    </w:p>
    <w:p w:rsidR="00712621" w:rsidRDefault="00712621" w:rsidP="004F14FB">
      <w:pPr>
        <w:pStyle w:val="ListParagraph"/>
        <w:ind w:left="1080"/>
        <w:jc w:val="both"/>
      </w:pPr>
    </w:p>
    <w:p w:rsidR="00712621" w:rsidRDefault="00712621" w:rsidP="00712621">
      <w:pPr>
        <w:pStyle w:val="ListParagraph"/>
        <w:numPr>
          <w:ilvl w:val="0"/>
          <w:numId w:val="5"/>
        </w:numPr>
        <w:jc w:val="both"/>
      </w:pPr>
      <w:r>
        <w:t>Chief, Compliance and Enforcement Branch</w:t>
      </w:r>
    </w:p>
    <w:p w:rsidR="00712621" w:rsidRDefault="00712621" w:rsidP="00712621">
      <w:pPr>
        <w:pStyle w:val="ListParagraph"/>
        <w:ind w:left="1080"/>
        <w:jc w:val="both"/>
      </w:pPr>
      <w:r>
        <w:t>Air Quality Division</w:t>
      </w:r>
    </w:p>
    <w:p w:rsidR="00712621" w:rsidRDefault="00712621" w:rsidP="00712621">
      <w:pPr>
        <w:pStyle w:val="ListParagraph"/>
        <w:ind w:left="1080"/>
        <w:jc w:val="both"/>
      </w:pPr>
      <w:r>
        <w:t>Department of Energy and Environment</w:t>
      </w:r>
    </w:p>
    <w:p w:rsidR="00712621" w:rsidRDefault="00712621" w:rsidP="00712621">
      <w:pPr>
        <w:pStyle w:val="ListParagraph"/>
        <w:ind w:left="1080"/>
        <w:jc w:val="both"/>
      </w:pPr>
      <w:r>
        <w:t>1200 First Street NE, 5</w:t>
      </w:r>
      <w:r w:rsidRPr="00712621">
        <w:t>th</w:t>
      </w:r>
      <w:r>
        <w:t xml:space="preserve"> Floor</w:t>
      </w:r>
    </w:p>
    <w:p w:rsidR="0022702F" w:rsidRDefault="0022702F" w:rsidP="00712621">
      <w:pPr>
        <w:pStyle w:val="ListParagraph"/>
        <w:ind w:left="1080"/>
        <w:jc w:val="both"/>
      </w:pPr>
      <w:r>
        <w:t>Washington DC 20002</w:t>
      </w:r>
    </w:p>
    <w:p w:rsidR="004F14FB" w:rsidRDefault="004F14FB" w:rsidP="004D7527">
      <w:pPr>
        <w:pStyle w:val="ListParagraph"/>
        <w:ind w:hanging="360"/>
        <w:jc w:val="both"/>
      </w:pPr>
    </w:p>
    <w:p w:rsidR="0079394C" w:rsidRDefault="0079394C">
      <w:r>
        <w:br w:type="page"/>
      </w:r>
    </w:p>
    <w:p w:rsidR="003E3736" w:rsidRPr="006B0515" w:rsidRDefault="003E3736" w:rsidP="008E19CC">
      <w:pPr>
        <w:pStyle w:val="Signature"/>
      </w:pPr>
      <w:bookmarkStart w:id="0" w:name="_GoBack"/>
      <w:bookmarkEnd w:id="0"/>
      <w:r w:rsidRPr="006B0515">
        <w:lastRenderedPageBreak/>
        <w:t xml:space="preserve">If there are any further questions, please call me at (202) 535-1747 or </w:t>
      </w:r>
      <w:r w:rsidR="00582E7F" w:rsidRPr="006B0515">
        <w:t>Thomas Olmstead</w:t>
      </w:r>
      <w:r w:rsidRPr="006B0515">
        <w:t xml:space="preserve"> at (202) 535-</w:t>
      </w:r>
      <w:r w:rsidR="00582E7F" w:rsidRPr="006B0515">
        <w:t>2273</w:t>
      </w:r>
      <w:r w:rsidRPr="006B0515">
        <w:t>.</w:t>
      </w:r>
    </w:p>
    <w:p w:rsidR="003E3736" w:rsidRPr="006B0515" w:rsidRDefault="003E3736" w:rsidP="008E19CC">
      <w:pPr>
        <w:pStyle w:val="Signature"/>
      </w:pPr>
    </w:p>
    <w:p w:rsidR="003E3736" w:rsidRPr="006B0515" w:rsidRDefault="003E3736" w:rsidP="008E19CC">
      <w:pPr>
        <w:pStyle w:val="Signature"/>
      </w:pPr>
    </w:p>
    <w:p w:rsidR="003E3736" w:rsidRPr="006B0515" w:rsidRDefault="00B063AC" w:rsidP="008E19CC">
      <w:pPr>
        <w:pStyle w:val="Signature"/>
      </w:pPr>
      <w:r w:rsidRPr="006B0515">
        <w:t>Sincerely,</w:t>
      </w: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r w:rsidRPr="006B0515">
        <w:t>Stephen S. Ours, P.E.</w:t>
      </w:r>
    </w:p>
    <w:p w:rsidR="003E3736" w:rsidRPr="006B0515" w:rsidRDefault="003E3736" w:rsidP="008E19CC">
      <w:pPr>
        <w:pStyle w:val="Signature"/>
      </w:pPr>
      <w:r w:rsidRPr="006B0515">
        <w:t>Chief, Permitting Branch</w:t>
      </w:r>
    </w:p>
    <w:p w:rsidR="003E3736" w:rsidRPr="006B0515" w:rsidRDefault="003E3736" w:rsidP="008E19CC">
      <w:pPr>
        <w:pStyle w:val="Header"/>
      </w:pPr>
    </w:p>
    <w:p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684A625" wp14:editId="29E68F7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0D1AA0A6" wp14:editId="5191C0A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F993B15" wp14:editId="147C821A">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797E163" wp14:editId="68AE4072">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237B87" w:rsidP="009A6285">
    <w:pPr>
      <w:rPr>
        <w:b/>
      </w:rPr>
    </w:pPr>
    <w:r w:rsidRPr="00237B87">
      <w:rPr>
        <w:b/>
      </w:rPr>
      <w:t>National Gallery of Art</w:t>
    </w:r>
    <w:r w:rsidR="009A6285">
      <w:rPr>
        <w:b/>
      </w:rPr>
      <w:t xml:space="preserve"> </w:t>
    </w:r>
  </w:p>
  <w:p w:rsidR="009A6285" w:rsidRDefault="0012612D" w:rsidP="0012612D">
    <w:pPr>
      <w:pStyle w:val="Header"/>
      <w:ind w:hanging="360"/>
      <w:rPr>
        <w:b/>
      </w:rPr>
    </w:pPr>
    <w:r>
      <w:rPr>
        <w:b/>
      </w:rPr>
      <w:tab/>
    </w:r>
    <w:r w:rsidR="00237B87" w:rsidRPr="00BF546B">
      <w:rPr>
        <w:b/>
      </w:rPr>
      <w:t xml:space="preserve">Permit </w:t>
    </w:r>
    <w:r w:rsidR="00237B87">
      <w:rPr>
        <w:b/>
      </w:rPr>
      <w:t xml:space="preserve">Nos. 7241 thru 7243 </w:t>
    </w:r>
    <w:r w:rsidR="007F16E1">
      <w:rPr>
        <w:b/>
      </w:rPr>
      <w:t xml:space="preserve">to </w:t>
    </w:r>
    <w:r w:rsidR="009A6285">
      <w:rPr>
        <w:b/>
      </w:rPr>
      <w:t xml:space="preserve">Operate </w:t>
    </w:r>
    <w:r w:rsidR="00237B87">
      <w:rPr>
        <w:b/>
      </w:rPr>
      <w:t>Three (3)</w:t>
    </w:r>
    <w:r w:rsidR="009A6285">
      <w:rPr>
        <w:b/>
      </w:rPr>
      <w:t xml:space="preserve"> </w:t>
    </w:r>
    <w:r w:rsidR="00237B87">
      <w:rPr>
        <w:b/>
      </w:rPr>
      <w:t>Non-Auto Body Paint Spray Booth</w:t>
    </w:r>
    <w:r w:rsidR="003C0F18">
      <w:rPr>
        <w:b/>
      </w:rPr>
      <w:t>s</w:t>
    </w:r>
  </w:p>
  <w:p w:rsidR="0006541E" w:rsidRDefault="008B2DC7" w:rsidP="0006541E">
    <w:pPr>
      <w:pStyle w:val="Signature"/>
    </w:pPr>
    <w:r>
      <w:t>December 31</w:t>
    </w:r>
    <w:r w:rsidR="00310247">
      <w:t>, 2019</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79394C">
      <w:rPr>
        <w:rStyle w:val="PageNumber"/>
        <w:noProof/>
      </w:rPr>
      <w:t>11</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4"/>
  </w:num>
  <w:num w:numId="5">
    <w:abstractNumId w:val="9"/>
  </w:num>
  <w:num w:numId="6">
    <w:abstractNumId w:val="7"/>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1146D1"/>
    <w:rsid w:val="00117635"/>
    <w:rsid w:val="00123622"/>
    <w:rsid w:val="0012612D"/>
    <w:rsid w:val="001353E4"/>
    <w:rsid w:val="001361E1"/>
    <w:rsid w:val="00177B6C"/>
    <w:rsid w:val="001A2D01"/>
    <w:rsid w:val="001B1152"/>
    <w:rsid w:val="001B644C"/>
    <w:rsid w:val="001C13A7"/>
    <w:rsid w:val="00216707"/>
    <w:rsid w:val="0022702F"/>
    <w:rsid w:val="00230020"/>
    <w:rsid w:val="002338A8"/>
    <w:rsid w:val="002356B3"/>
    <w:rsid w:val="00237B87"/>
    <w:rsid w:val="00271FB2"/>
    <w:rsid w:val="002731B2"/>
    <w:rsid w:val="0028624E"/>
    <w:rsid w:val="002908A0"/>
    <w:rsid w:val="002D0497"/>
    <w:rsid w:val="002E239A"/>
    <w:rsid w:val="002E37D1"/>
    <w:rsid w:val="0030295C"/>
    <w:rsid w:val="00310247"/>
    <w:rsid w:val="00335EAB"/>
    <w:rsid w:val="003377C1"/>
    <w:rsid w:val="00341E82"/>
    <w:rsid w:val="00367CDF"/>
    <w:rsid w:val="00371EB3"/>
    <w:rsid w:val="0037584C"/>
    <w:rsid w:val="00377959"/>
    <w:rsid w:val="0039080A"/>
    <w:rsid w:val="0039261C"/>
    <w:rsid w:val="003B2CC6"/>
    <w:rsid w:val="003C0F18"/>
    <w:rsid w:val="003D0D5F"/>
    <w:rsid w:val="003E3736"/>
    <w:rsid w:val="004114C4"/>
    <w:rsid w:val="00451564"/>
    <w:rsid w:val="004561AC"/>
    <w:rsid w:val="00462A6E"/>
    <w:rsid w:val="00464202"/>
    <w:rsid w:val="00473670"/>
    <w:rsid w:val="004874F1"/>
    <w:rsid w:val="00494AB7"/>
    <w:rsid w:val="004A1250"/>
    <w:rsid w:val="004B3C68"/>
    <w:rsid w:val="004C41B1"/>
    <w:rsid w:val="004C5FD4"/>
    <w:rsid w:val="004D1B50"/>
    <w:rsid w:val="004D5BA3"/>
    <w:rsid w:val="004D7527"/>
    <w:rsid w:val="004F14FB"/>
    <w:rsid w:val="004F7D23"/>
    <w:rsid w:val="005330CB"/>
    <w:rsid w:val="00536138"/>
    <w:rsid w:val="00541593"/>
    <w:rsid w:val="00561103"/>
    <w:rsid w:val="0056640B"/>
    <w:rsid w:val="00577177"/>
    <w:rsid w:val="0057729C"/>
    <w:rsid w:val="00582E7F"/>
    <w:rsid w:val="005A2EC4"/>
    <w:rsid w:val="005C4930"/>
    <w:rsid w:val="005C56C9"/>
    <w:rsid w:val="005D2B8D"/>
    <w:rsid w:val="006268E7"/>
    <w:rsid w:val="0063621D"/>
    <w:rsid w:val="00653218"/>
    <w:rsid w:val="006764AE"/>
    <w:rsid w:val="00690C84"/>
    <w:rsid w:val="006B0515"/>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E3E73"/>
    <w:rsid w:val="007E6B87"/>
    <w:rsid w:val="007F16E1"/>
    <w:rsid w:val="007F35DA"/>
    <w:rsid w:val="008258F6"/>
    <w:rsid w:val="00850CD9"/>
    <w:rsid w:val="0086099C"/>
    <w:rsid w:val="008637DF"/>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657D"/>
    <w:rsid w:val="00AC669D"/>
    <w:rsid w:val="00AD126D"/>
    <w:rsid w:val="00AD261D"/>
    <w:rsid w:val="00AD5650"/>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87ED0"/>
    <w:rsid w:val="00BB208D"/>
    <w:rsid w:val="00BD33AE"/>
    <w:rsid w:val="00BE2664"/>
    <w:rsid w:val="00BF44ED"/>
    <w:rsid w:val="00BF45D3"/>
    <w:rsid w:val="00C0764F"/>
    <w:rsid w:val="00C21D83"/>
    <w:rsid w:val="00C227B4"/>
    <w:rsid w:val="00C32221"/>
    <w:rsid w:val="00C517B6"/>
    <w:rsid w:val="00C55697"/>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20183"/>
    <w:rsid w:val="00E42B93"/>
    <w:rsid w:val="00E54043"/>
    <w:rsid w:val="00E54C82"/>
    <w:rsid w:val="00E70B2C"/>
    <w:rsid w:val="00EC7C5B"/>
    <w:rsid w:val="00EE3BEE"/>
    <w:rsid w:val="00F00B4D"/>
    <w:rsid w:val="00F0380E"/>
    <w:rsid w:val="00F04F64"/>
    <w:rsid w:val="00F07A7C"/>
    <w:rsid w:val="00F151E6"/>
    <w:rsid w:val="00F205C0"/>
    <w:rsid w:val="00F251EB"/>
    <w:rsid w:val="00F468E7"/>
    <w:rsid w:val="00F51B0E"/>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1108</TotalTime>
  <Pages>12</Pages>
  <Words>3923</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24921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Helps</cp:lastModifiedBy>
  <cp:revision>5</cp:revision>
  <cp:lastPrinted>2019-11-19T16:52:00Z</cp:lastPrinted>
  <dcterms:created xsi:type="dcterms:W3CDTF">2019-11-18T22:54:00Z</dcterms:created>
  <dcterms:modified xsi:type="dcterms:W3CDTF">2019-11-19T21:12:00Z</dcterms:modified>
</cp:coreProperties>
</file>