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B4" w:rsidRDefault="001F03D7" w:rsidP="004A20B4">
      <w:pPr>
        <w:pStyle w:val="Signature"/>
      </w:pPr>
      <w:r>
        <w:t>June 23</w:t>
      </w:r>
      <w:r w:rsidR="004A20B4">
        <w:t>, 2015</w:t>
      </w:r>
    </w:p>
    <w:p w:rsidR="004A20B4" w:rsidRDefault="004A20B4" w:rsidP="004A20B4">
      <w:pPr>
        <w:pStyle w:val="Signature"/>
      </w:pPr>
    </w:p>
    <w:p w:rsidR="004A20B4" w:rsidRDefault="004A20B4" w:rsidP="004A20B4">
      <w:pPr>
        <w:tabs>
          <w:tab w:val="center" w:pos="4680"/>
        </w:tabs>
      </w:pPr>
      <w:r>
        <w:t>Rafael Muniz</w:t>
      </w:r>
    </w:p>
    <w:p w:rsidR="004A20B4" w:rsidRDefault="004A20B4" w:rsidP="004A20B4">
      <w:pPr>
        <w:tabs>
          <w:tab w:val="center" w:pos="4680"/>
        </w:tabs>
      </w:pPr>
      <w:r>
        <w:t>Authorized Signatory</w:t>
      </w:r>
    </w:p>
    <w:p w:rsidR="004A20B4" w:rsidRPr="00B67EC2" w:rsidRDefault="004A20B4" w:rsidP="004A20B4">
      <w:pPr>
        <w:tabs>
          <w:tab w:val="center" w:pos="4680"/>
        </w:tabs>
      </w:pPr>
      <w:r>
        <w:t>13</w:t>
      </w:r>
      <w:r w:rsidRPr="00657E67">
        <w:rPr>
          <w:vertAlign w:val="superscript"/>
        </w:rPr>
        <w:t>th</w:t>
      </w:r>
      <w:r>
        <w:t xml:space="preserve"> &amp; U Lessee, LLC</w:t>
      </w:r>
      <w:r w:rsidR="001F03D7">
        <w:t xml:space="preserve"> c/o </w:t>
      </w:r>
      <w:proofErr w:type="gramStart"/>
      <w:r w:rsidR="001F03D7">
        <w:t>The</w:t>
      </w:r>
      <w:proofErr w:type="gramEnd"/>
      <w:r w:rsidR="001F03D7">
        <w:t xml:space="preserve"> JBG Companies</w:t>
      </w:r>
    </w:p>
    <w:p w:rsidR="004A20B4" w:rsidRPr="00B67EC2" w:rsidRDefault="004A20B4" w:rsidP="004A20B4">
      <w:pPr>
        <w:tabs>
          <w:tab w:val="center" w:pos="4680"/>
        </w:tabs>
      </w:pPr>
      <w:r>
        <w:t>4445 Willard Avenue, Suite 400</w:t>
      </w:r>
    </w:p>
    <w:p w:rsidR="004A20B4" w:rsidRPr="00B67EC2" w:rsidRDefault="004A20B4" w:rsidP="004A20B4">
      <w:pPr>
        <w:tabs>
          <w:tab w:val="center" w:pos="4680"/>
        </w:tabs>
      </w:pPr>
      <w:r>
        <w:t xml:space="preserve">Chevy Chase, MD </w:t>
      </w:r>
      <w:r w:rsidRPr="00B67EC2">
        <w:t xml:space="preserve"> 20</w:t>
      </w:r>
      <w:r>
        <w:t>815</w:t>
      </w:r>
    </w:p>
    <w:p w:rsidR="004A20B4" w:rsidRPr="00B67EC2" w:rsidRDefault="004A20B4" w:rsidP="004A20B4">
      <w:pPr>
        <w:tabs>
          <w:tab w:val="center" w:pos="4680"/>
        </w:tabs>
      </w:pPr>
    </w:p>
    <w:p w:rsidR="004A20B4" w:rsidRPr="009A6567" w:rsidRDefault="004A20B4" w:rsidP="004A20B4">
      <w:pPr>
        <w:tabs>
          <w:tab w:val="center" w:pos="4680"/>
        </w:tabs>
        <w:ind w:left="492" w:hanging="492"/>
        <w:rPr>
          <w:b/>
        </w:rPr>
      </w:pPr>
      <w:r w:rsidRPr="009A6567">
        <w:rPr>
          <w:b/>
        </w:rPr>
        <w:t xml:space="preserve">RE:  </w:t>
      </w:r>
      <w:r>
        <w:rPr>
          <w:b/>
        </w:rPr>
        <w:tab/>
        <w:t>Permit #6998</w:t>
      </w:r>
      <w:r w:rsidRPr="009A6567">
        <w:rPr>
          <w:b/>
        </w:rPr>
        <w:t xml:space="preserve"> to Construct and Operate a</w:t>
      </w:r>
      <w:r>
        <w:rPr>
          <w:b/>
        </w:rPr>
        <w:t xml:space="preserve"> 200 </w:t>
      </w:r>
      <w:proofErr w:type="spellStart"/>
      <w:r>
        <w:rPr>
          <w:b/>
        </w:rPr>
        <w:t>kW</w:t>
      </w:r>
      <w:r w:rsidR="001F03D7">
        <w:rPr>
          <w:b/>
        </w:rPr>
        <w:t>e</w:t>
      </w:r>
      <w:proofErr w:type="spellEnd"/>
      <w:r w:rsidR="001F03D7">
        <w:rPr>
          <w:b/>
        </w:rPr>
        <w:t xml:space="preserve"> Natural Gas Fired</w:t>
      </w:r>
      <w:r w:rsidRPr="009A6567">
        <w:rPr>
          <w:b/>
        </w:rPr>
        <w:t xml:space="preserve"> Emergency Generator </w:t>
      </w:r>
      <w:r>
        <w:rPr>
          <w:b/>
        </w:rPr>
        <w:t xml:space="preserve">Set </w:t>
      </w:r>
      <w:r w:rsidRPr="009A6567">
        <w:rPr>
          <w:b/>
        </w:rPr>
        <w:t xml:space="preserve">at </w:t>
      </w:r>
      <w:r>
        <w:rPr>
          <w:b/>
        </w:rPr>
        <w:t>13</w:t>
      </w:r>
      <w:r w:rsidRPr="00EB5C2D">
        <w:rPr>
          <w:b/>
          <w:vertAlign w:val="superscript"/>
        </w:rPr>
        <w:t>th</w:t>
      </w:r>
      <w:r>
        <w:rPr>
          <w:b/>
        </w:rPr>
        <w:t xml:space="preserve"> &amp; U Street</w:t>
      </w:r>
      <w:r w:rsidR="001F03D7">
        <w:rPr>
          <w:b/>
        </w:rPr>
        <w:t>s</w:t>
      </w:r>
      <w:r>
        <w:rPr>
          <w:b/>
        </w:rPr>
        <w:t xml:space="preserve"> NW</w:t>
      </w:r>
    </w:p>
    <w:p w:rsidR="004A20B4" w:rsidRPr="00B67EC2" w:rsidRDefault="004A20B4" w:rsidP="004A20B4">
      <w:pPr>
        <w:tabs>
          <w:tab w:val="center" w:pos="4680"/>
        </w:tabs>
      </w:pPr>
    </w:p>
    <w:p w:rsidR="004A20B4" w:rsidRPr="00B67EC2" w:rsidRDefault="001F03D7" w:rsidP="004A20B4">
      <w:pPr>
        <w:tabs>
          <w:tab w:val="center" w:pos="4680"/>
        </w:tabs>
      </w:pPr>
      <w:r>
        <w:t>Dear Mr. Muniz</w:t>
      </w:r>
      <w:r w:rsidR="004A20B4" w:rsidRPr="00B67EC2">
        <w:t xml:space="preserve">: </w:t>
      </w:r>
    </w:p>
    <w:p w:rsidR="004A20B4" w:rsidRPr="00B67EC2" w:rsidRDefault="004A20B4" w:rsidP="004A20B4">
      <w:pPr>
        <w:tabs>
          <w:tab w:val="center" w:pos="4680"/>
        </w:tabs>
      </w:pPr>
    </w:p>
    <w:p w:rsidR="00E758F6" w:rsidRPr="007229E6" w:rsidRDefault="004A20B4" w:rsidP="004A20B4">
      <w:pPr>
        <w:tabs>
          <w:tab w:val="center" w:pos="4680"/>
        </w:tabs>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t>13</w:t>
      </w:r>
      <w:r w:rsidRPr="00657E67">
        <w:rPr>
          <w:vertAlign w:val="superscript"/>
        </w:rPr>
        <w:t>th</w:t>
      </w:r>
      <w:r>
        <w:t xml:space="preserve"> &amp; U Lessee, LLC</w:t>
      </w:r>
      <w:r w:rsidRPr="00B67EC2">
        <w:t xml:space="preserve"> (the Permitte</w:t>
      </w:r>
      <w:r w:rsidR="001F03D7">
        <w:t>e) to construct and operate a 20</w:t>
      </w:r>
      <w:r w:rsidRPr="00B67EC2">
        <w:t xml:space="preserve">0 </w:t>
      </w:r>
      <w:proofErr w:type="spellStart"/>
      <w:r w:rsidRPr="007229E6">
        <w:t>kW</w:t>
      </w:r>
      <w:r w:rsidR="001F03D7">
        <w:t>e</w:t>
      </w:r>
      <w:proofErr w:type="spellEnd"/>
      <w:r w:rsidR="00E758F6" w:rsidRPr="007229E6">
        <w:t xml:space="preserve"> </w:t>
      </w:r>
      <w:r w:rsidR="00606D2B" w:rsidRPr="007229E6">
        <w:t xml:space="preserve">emergency generator set with a </w:t>
      </w:r>
      <w:r w:rsidR="007229E6" w:rsidRPr="007229E6">
        <w:t>304 HP</w:t>
      </w:r>
      <w:r w:rsidR="00606D2B" w:rsidRPr="007229E6">
        <w:t xml:space="preserve"> </w:t>
      </w:r>
      <w:r w:rsidR="00E758F6" w:rsidRPr="007229E6">
        <w:t>natural gas fired</w:t>
      </w:r>
      <w:r w:rsidR="00606D2B" w:rsidRPr="007229E6">
        <w:t xml:space="preserve"> engine</w:t>
      </w:r>
      <w:r w:rsidR="00E758F6" w:rsidRPr="007229E6">
        <w:t xml:space="preserve"> at </w:t>
      </w:r>
      <w:r w:rsidR="007229E6" w:rsidRPr="007229E6">
        <w:t>13</w:t>
      </w:r>
      <w:r w:rsidR="007229E6" w:rsidRPr="007229E6">
        <w:rPr>
          <w:vertAlign w:val="superscript"/>
        </w:rPr>
        <w:t>th</w:t>
      </w:r>
      <w:r w:rsidR="007229E6" w:rsidRPr="007229E6">
        <w:t xml:space="preserve"> &amp; U Street</w:t>
      </w:r>
      <w:r w:rsidR="001F03D7">
        <w:t>s</w:t>
      </w:r>
      <w:r w:rsidR="00754496" w:rsidRPr="007229E6">
        <w:t xml:space="preserve"> </w:t>
      </w:r>
      <w:r w:rsidR="007229E6" w:rsidRPr="007229E6">
        <w:t>NW</w:t>
      </w:r>
      <w:r w:rsidR="00E758F6" w:rsidRPr="007229E6">
        <w:t xml:space="preserve">, Washington DC, per the submitted plans and specifications, received </w:t>
      </w:r>
      <w:r w:rsidR="007229E6" w:rsidRPr="007229E6">
        <w:t>March 2</w:t>
      </w:r>
      <w:r w:rsidR="001F03D7">
        <w:t>4</w:t>
      </w:r>
      <w:r w:rsidR="00E758F6" w:rsidRPr="007229E6">
        <w:t>, 201</w:t>
      </w:r>
      <w:r w:rsidR="007229E6" w:rsidRPr="007229E6">
        <w:t>5</w:t>
      </w:r>
      <w:r w:rsidR="00E758F6" w:rsidRPr="007229E6">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F03D7">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606D2B" w:rsidRPr="00975D79">
        <w:t xml:space="preserve">This permit </w:t>
      </w:r>
      <w:r w:rsidR="00606D2B" w:rsidRPr="00AB4EA6">
        <w:t xml:space="preserve">expires </w:t>
      </w:r>
      <w:r w:rsidR="00606D2B">
        <w:t xml:space="preserve">on </w:t>
      </w:r>
      <w:r w:rsidR="001F03D7">
        <w:t>June 22, 2020</w:t>
      </w:r>
      <w:r w:rsidR="00606D2B">
        <w:t xml:space="preserve"> </w:t>
      </w:r>
      <w:r w:rsidR="00606D2B" w:rsidRPr="00975D79">
        <w:t>[20 DCMR 200.4].  If continued operation after this date is desired, the owner or operator shall submit a</w:t>
      </w:r>
      <w:r w:rsidR="00606D2B">
        <w:t xml:space="preserve"> renewal application </w:t>
      </w:r>
      <w:r w:rsidR="001F03D7">
        <w:t>March 22, 2020</w:t>
      </w:r>
      <w:r w:rsidR="00606D2B">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rsidR="00D56C5E">
        <w:t>Emissions from each unit shall not exceed those in the following table, as measured according to the procedures set forth in [40 CFR 60.4233(d), and 40 CFR 60 Subpart JJJJ, Table 1]:</w:t>
      </w:r>
    </w:p>
    <w:p w:rsidR="000F5CBE" w:rsidRDefault="000F5CBE" w:rsidP="000F5CBE">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0F5CBE" w:rsidTr="001A6261">
        <w:tc>
          <w:tcPr>
            <w:tcW w:w="7146" w:type="dxa"/>
            <w:gridSpan w:val="3"/>
          </w:tcPr>
          <w:p w:rsidR="000F5CBE" w:rsidRPr="00730BFF" w:rsidRDefault="000F5CBE" w:rsidP="001A6261">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p>
        </w:tc>
      </w:tr>
      <w:tr w:rsidR="000F5CBE" w:rsidTr="001A6261">
        <w:tc>
          <w:tcPr>
            <w:tcW w:w="2340" w:type="dxa"/>
          </w:tcPr>
          <w:p w:rsidR="000F5CBE" w:rsidRPr="00730BFF" w:rsidRDefault="000F5CBE" w:rsidP="001A6261">
            <w:pPr>
              <w:jc w:val="center"/>
            </w:pPr>
            <w:r w:rsidRPr="00730BFF">
              <w:t>NOx</w:t>
            </w:r>
          </w:p>
        </w:tc>
        <w:tc>
          <w:tcPr>
            <w:tcW w:w="2250" w:type="dxa"/>
          </w:tcPr>
          <w:p w:rsidR="000F5CBE" w:rsidRPr="00730BFF" w:rsidRDefault="000F5CBE" w:rsidP="001A6261">
            <w:pPr>
              <w:jc w:val="center"/>
            </w:pPr>
            <w:r w:rsidRPr="00730BFF">
              <w:t>CO</w:t>
            </w:r>
          </w:p>
        </w:tc>
        <w:tc>
          <w:tcPr>
            <w:tcW w:w="2556" w:type="dxa"/>
          </w:tcPr>
          <w:p w:rsidR="000F5CBE" w:rsidRPr="00730BFF" w:rsidRDefault="000F5CBE" w:rsidP="001A6261">
            <w:pPr>
              <w:jc w:val="center"/>
            </w:pPr>
            <w:r>
              <w:t>VOC</w:t>
            </w:r>
          </w:p>
        </w:tc>
      </w:tr>
      <w:tr w:rsidR="000F5CBE" w:rsidTr="001A6261">
        <w:tc>
          <w:tcPr>
            <w:tcW w:w="2340" w:type="dxa"/>
          </w:tcPr>
          <w:p w:rsidR="000F5CBE" w:rsidRDefault="000F5CBE" w:rsidP="001A6261">
            <w:pPr>
              <w:jc w:val="center"/>
            </w:pPr>
            <w:r>
              <w:t>2.0</w:t>
            </w:r>
          </w:p>
        </w:tc>
        <w:tc>
          <w:tcPr>
            <w:tcW w:w="2250" w:type="dxa"/>
          </w:tcPr>
          <w:p w:rsidR="000F5CBE" w:rsidRDefault="000F5CBE" w:rsidP="001A6261">
            <w:pPr>
              <w:jc w:val="center"/>
            </w:pPr>
            <w:r>
              <w:t>4.0</w:t>
            </w:r>
          </w:p>
        </w:tc>
        <w:tc>
          <w:tcPr>
            <w:tcW w:w="2556" w:type="dxa"/>
          </w:tcPr>
          <w:p w:rsidR="000F5CBE" w:rsidRDefault="000F5CBE" w:rsidP="001A6261">
            <w:pPr>
              <w:jc w:val="center"/>
            </w:pPr>
            <w:r>
              <w:t>1.0</w:t>
            </w:r>
          </w:p>
        </w:tc>
      </w:tr>
    </w:tbl>
    <w:p w:rsidR="000F5CBE" w:rsidRPr="006243B7" w:rsidRDefault="000F5CBE" w:rsidP="000F5CBE">
      <w:pPr>
        <w:ind w:left="72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1F03D7">
        <w:t>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1F03D7" w:rsidRDefault="001F03D7"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lastRenderedPageBreak/>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1F03D7" w:rsidRDefault="001F03D7" w:rsidP="001F03D7">
      <w:pPr>
        <w:ind w:left="360" w:hanging="360"/>
      </w:pPr>
    </w:p>
    <w:p w:rsidR="001F03D7" w:rsidRDefault="001F03D7" w:rsidP="001F03D7">
      <w:pPr>
        <w:ind w:left="360" w:hanging="360"/>
      </w:pPr>
      <w:r>
        <w:t>VI.</w:t>
      </w:r>
      <w:r>
        <w:tab/>
      </w:r>
      <w:r>
        <w:rPr>
          <w:u w:val="single"/>
        </w:rPr>
        <w:t>Reporting Requirements</w:t>
      </w:r>
    </w:p>
    <w:p w:rsidR="001F03D7" w:rsidRDefault="001F03D7" w:rsidP="001F03D7">
      <w:pPr>
        <w:ind w:left="360" w:hanging="360"/>
      </w:pPr>
    </w:p>
    <w:p w:rsidR="001F03D7" w:rsidRDefault="001F03D7" w:rsidP="001F03D7">
      <w:pPr>
        <w:ind w:left="720" w:hanging="360"/>
      </w:pPr>
      <w:r>
        <w:t>a.</w:t>
      </w:r>
      <w:r>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60.4245(e)]:</w:t>
      </w:r>
    </w:p>
    <w:p w:rsidR="001F03D7" w:rsidRDefault="001F03D7" w:rsidP="001F03D7">
      <w:pPr>
        <w:ind w:left="720" w:hanging="360"/>
      </w:pPr>
    </w:p>
    <w:p w:rsidR="001F03D7" w:rsidRDefault="001F03D7" w:rsidP="001F03D7">
      <w:pPr>
        <w:ind w:left="1080" w:hanging="360"/>
      </w:pPr>
      <w:r>
        <w:t>1.</w:t>
      </w:r>
      <w:r>
        <w:tab/>
        <w:t>Company name and address where the engine is located;</w:t>
      </w:r>
    </w:p>
    <w:p w:rsidR="001F03D7" w:rsidRDefault="001F03D7" w:rsidP="001F03D7">
      <w:pPr>
        <w:ind w:left="1080" w:hanging="360"/>
      </w:pPr>
    </w:p>
    <w:p w:rsidR="001F03D7" w:rsidRDefault="001F03D7" w:rsidP="001F03D7">
      <w:pPr>
        <w:ind w:left="1080" w:hanging="360"/>
      </w:pPr>
      <w:r>
        <w:t>2.</w:t>
      </w:r>
      <w:r>
        <w:tab/>
        <w:t>Date of report and the beginning and ending dates of the reporting period;</w:t>
      </w:r>
    </w:p>
    <w:p w:rsidR="001F03D7" w:rsidRDefault="001F03D7" w:rsidP="001F03D7">
      <w:pPr>
        <w:ind w:left="1080" w:hanging="360"/>
      </w:pPr>
    </w:p>
    <w:p w:rsidR="001F03D7" w:rsidRDefault="001F03D7" w:rsidP="001F03D7">
      <w:pPr>
        <w:ind w:left="1080" w:hanging="360"/>
      </w:pPr>
      <w:r>
        <w:t>3.</w:t>
      </w:r>
      <w:r>
        <w:tab/>
        <w:t>Engine site rating and model year;</w:t>
      </w:r>
    </w:p>
    <w:p w:rsidR="001F03D7" w:rsidRDefault="001F03D7" w:rsidP="001F03D7">
      <w:pPr>
        <w:ind w:left="1080" w:hanging="360"/>
      </w:pPr>
    </w:p>
    <w:p w:rsidR="001F03D7" w:rsidRDefault="001F03D7" w:rsidP="001F03D7">
      <w:pPr>
        <w:ind w:left="1080" w:hanging="360"/>
      </w:pPr>
      <w:r>
        <w:t>4.</w:t>
      </w:r>
      <w:r>
        <w:tab/>
        <w:t>Latitude and longitude of the engine in decimal degrees reported to the fifth decimal place;</w:t>
      </w:r>
    </w:p>
    <w:p w:rsidR="001F03D7" w:rsidRDefault="001F03D7" w:rsidP="001F03D7">
      <w:pPr>
        <w:ind w:left="1080" w:hanging="360"/>
      </w:pPr>
    </w:p>
    <w:p w:rsidR="001F03D7" w:rsidRDefault="001F03D7" w:rsidP="001F03D7">
      <w:pPr>
        <w:ind w:left="1080" w:hanging="360"/>
      </w:pPr>
      <w:r>
        <w:t>5.</w:t>
      </w:r>
      <w:r>
        <w:tab/>
        <w:t>Hours operated for the purpose specified in Condition III(b)(2), including the date, start time, and end time for engine operation for the purpose specified in Condition III(b)(2); and</w:t>
      </w:r>
    </w:p>
    <w:p w:rsidR="001F03D7" w:rsidRDefault="001F03D7" w:rsidP="001F03D7">
      <w:pPr>
        <w:ind w:left="720" w:hanging="360"/>
      </w:pPr>
    </w:p>
    <w:p w:rsidR="001F03D7" w:rsidRDefault="001F03D7" w:rsidP="001F03D7">
      <w:pPr>
        <w:ind w:left="720" w:hanging="360"/>
      </w:pPr>
      <w:r>
        <w:t>b.</w:t>
      </w:r>
      <w:r>
        <w:tab/>
        <w:t>Reports shall be submitted as follows:</w:t>
      </w:r>
    </w:p>
    <w:p w:rsidR="001F03D7" w:rsidRDefault="001F03D7" w:rsidP="001F03D7">
      <w:pPr>
        <w:ind w:left="720" w:hanging="360"/>
      </w:pPr>
    </w:p>
    <w:p w:rsidR="001F03D7" w:rsidRDefault="001F03D7" w:rsidP="001F03D7">
      <w:pPr>
        <w:ind w:left="1080" w:hanging="360"/>
      </w:pPr>
      <w:r>
        <w:t>1.</w:t>
      </w:r>
      <w:r>
        <w:tab/>
        <w:t>Reports to the Department shall be submitted to the following address:</w:t>
      </w:r>
    </w:p>
    <w:p w:rsidR="001F03D7" w:rsidRDefault="001F03D7" w:rsidP="001F03D7">
      <w:pPr>
        <w:ind w:left="720"/>
      </w:pPr>
    </w:p>
    <w:p w:rsidR="001F03D7" w:rsidRDefault="001F03D7" w:rsidP="001F03D7">
      <w:pPr>
        <w:ind w:left="1080"/>
      </w:pPr>
      <w:r>
        <w:t>District Department of the Environment</w:t>
      </w:r>
    </w:p>
    <w:p w:rsidR="001F03D7" w:rsidRDefault="001F03D7" w:rsidP="001F03D7">
      <w:pPr>
        <w:tabs>
          <w:tab w:val="left" w:pos="-1440"/>
          <w:tab w:val="left" w:pos="-720"/>
        </w:tabs>
        <w:ind w:left="1080"/>
      </w:pPr>
      <w:r>
        <w:t>Chief, Compliance and Enforcement Branch</w:t>
      </w:r>
    </w:p>
    <w:p w:rsidR="001F03D7" w:rsidRDefault="001F03D7" w:rsidP="001F03D7">
      <w:pPr>
        <w:tabs>
          <w:tab w:val="left" w:pos="-1440"/>
          <w:tab w:val="left" w:pos="-720"/>
        </w:tabs>
        <w:ind w:left="1080"/>
      </w:pPr>
      <w:r>
        <w:t>Air Quality Division</w:t>
      </w:r>
    </w:p>
    <w:p w:rsidR="001F03D7" w:rsidRDefault="001F03D7" w:rsidP="001F03D7">
      <w:pPr>
        <w:tabs>
          <w:tab w:val="left" w:pos="-1440"/>
          <w:tab w:val="left" w:pos="-720"/>
        </w:tabs>
        <w:ind w:left="1080"/>
      </w:pPr>
      <w:r>
        <w:t>1200 First Street, NE, 5</w:t>
      </w:r>
      <w:r>
        <w:rPr>
          <w:vertAlign w:val="superscript"/>
        </w:rPr>
        <w:t>th</w:t>
      </w:r>
      <w:r>
        <w:t xml:space="preserve"> Floor</w:t>
      </w:r>
    </w:p>
    <w:p w:rsidR="001F03D7" w:rsidRDefault="001F03D7" w:rsidP="001F03D7">
      <w:pPr>
        <w:tabs>
          <w:tab w:val="left" w:pos="-1440"/>
          <w:tab w:val="left" w:pos="-720"/>
        </w:tabs>
        <w:ind w:left="1080"/>
      </w:pPr>
      <w:r>
        <w:t>Washington, D.C. 20002</w:t>
      </w:r>
    </w:p>
    <w:p w:rsidR="001F03D7" w:rsidRDefault="001F03D7" w:rsidP="001F03D7">
      <w:pPr>
        <w:ind w:left="720"/>
      </w:pPr>
    </w:p>
    <w:p w:rsidR="001F03D7" w:rsidRDefault="001F03D7" w:rsidP="001F03D7">
      <w:pPr>
        <w:ind w:left="1080" w:hanging="360"/>
      </w:pPr>
      <w:r>
        <w:t>2.</w:t>
      </w:r>
      <w:r>
        <w:tab/>
        <w:t>Reports to EPA must be submitted electronically using the subpart specific reporting form in the Compliance and Emissions Data Reporting Interface (CEDRI) that is accessed through EPA’s Central Data Exchange (CDX) (</w:t>
      </w:r>
      <w:hyperlink r:id="rId9" w:history="1">
        <w:r w:rsidRPr="00FC3254">
          <w:rPr>
            <w:rStyle w:val="Hyperlink"/>
            <w:color w:val="auto"/>
          </w:rPr>
          <w:t>www.epa.gov/cdx</w:t>
        </w:r>
      </w:hyperlink>
      <w:r>
        <w:t>).  However, if the reporting form specific to this subpart is not available in CEDRI at the time that the report is due, the written report must be submitted to the EPA Administrator at the following address:</w:t>
      </w:r>
    </w:p>
    <w:p w:rsidR="001F03D7" w:rsidRDefault="001F03D7" w:rsidP="001F03D7">
      <w:pPr>
        <w:ind w:left="1080" w:hanging="360"/>
      </w:pPr>
    </w:p>
    <w:p w:rsidR="001F03D7" w:rsidRDefault="001F03D7" w:rsidP="001F03D7">
      <w:pPr>
        <w:tabs>
          <w:tab w:val="left" w:pos="1080"/>
        </w:tabs>
        <w:ind w:left="1080"/>
      </w:pPr>
      <w:r>
        <w:t>EPA Region III</w:t>
      </w:r>
    </w:p>
    <w:p w:rsidR="001F03D7" w:rsidRDefault="001F03D7" w:rsidP="001F03D7">
      <w:pPr>
        <w:ind w:left="1080"/>
      </w:pPr>
      <w:r>
        <w:t>Director, Air Protection Division</w:t>
      </w:r>
    </w:p>
    <w:p w:rsidR="001F03D7" w:rsidRDefault="001F03D7" w:rsidP="001F03D7">
      <w:pPr>
        <w:ind w:left="1080"/>
      </w:pPr>
      <w:r>
        <w:t>1650 Arch Street</w:t>
      </w:r>
    </w:p>
    <w:p w:rsidR="001F03D7" w:rsidRDefault="001F03D7" w:rsidP="001F03D7">
      <w:pPr>
        <w:ind w:left="1080"/>
      </w:pPr>
      <w:r>
        <w:t>Philadelphia PA, 19103</w:t>
      </w:r>
    </w:p>
    <w:p w:rsidR="001F03D7" w:rsidRDefault="001F03D7" w:rsidP="001F03D7">
      <w:pPr>
        <w:ind w:left="720"/>
      </w:pPr>
    </w:p>
    <w:p w:rsidR="0076577A" w:rsidRDefault="001F03D7" w:rsidP="001F03D7">
      <w:pPr>
        <w:ind w:left="720" w:hanging="360"/>
      </w:pPr>
      <w:r>
        <w:t>c.</w:t>
      </w:r>
      <w:r>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1F03D7" w:rsidRDefault="001F03D7" w:rsidP="00500AF8"/>
    <w:p w:rsidR="001F03D7" w:rsidRDefault="001F03D7">
      <w:r>
        <w:br w:type="page"/>
      </w:r>
    </w:p>
    <w:p w:rsidR="00500AF8" w:rsidRDefault="00500AF8" w:rsidP="00500AF8">
      <w:bookmarkStart w:id="0" w:name="_GoBack"/>
      <w:bookmarkEnd w:id="0"/>
      <w:r w:rsidRPr="006243B7">
        <w:lastRenderedPageBreak/>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F91" w:rsidRDefault="00B65F91">
      <w:r>
        <w:separator/>
      </w:r>
    </w:p>
  </w:endnote>
  <w:endnote w:type="continuationSeparator" w:id="0">
    <w:p w:rsidR="00B65F91" w:rsidRDefault="00B6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D7" w:rsidRPr="00A67445" w:rsidRDefault="001F03D7" w:rsidP="001F03D7">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6243CE5D" wp14:editId="5E509F3F">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55FA2F71" wp14:editId="79FAF00B">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F91" w:rsidRDefault="00B65F91">
      <w:r>
        <w:separator/>
      </w:r>
    </w:p>
  </w:footnote>
  <w:footnote w:type="continuationSeparator" w:id="0">
    <w:p w:rsidR="00B65F91" w:rsidRDefault="00B65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E6" w:rsidRPr="007229E6" w:rsidRDefault="007229E6" w:rsidP="007229E6">
    <w:pPr>
      <w:rPr>
        <w:b/>
        <w:bCs/>
      </w:rPr>
    </w:pPr>
    <w:r w:rsidRPr="007229E6">
      <w:rPr>
        <w:b/>
        <w:bCs/>
      </w:rPr>
      <w:t>JBG Companies, 13</w:t>
    </w:r>
    <w:r w:rsidRPr="007229E6">
      <w:rPr>
        <w:b/>
        <w:bCs/>
        <w:vertAlign w:val="superscript"/>
      </w:rPr>
      <w:t>th</w:t>
    </w:r>
    <w:r w:rsidRPr="007229E6">
      <w:rPr>
        <w:b/>
        <w:bCs/>
      </w:rPr>
      <w:t xml:space="preserve"> &amp; U Lessee, LLC</w:t>
    </w:r>
  </w:p>
  <w:p w:rsidR="004E6B44" w:rsidRPr="006243B7" w:rsidRDefault="004E6B44" w:rsidP="001F03D7">
    <w:pPr>
      <w:ind w:left="360" w:hanging="360"/>
    </w:pPr>
    <w:r>
      <w:rPr>
        <w:b/>
        <w:bCs/>
      </w:rPr>
      <w:t>Permit #</w:t>
    </w:r>
    <w:r w:rsidR="00694421">
      <w:rPr>
        <w:b/>
        <w:bCs/>
      </w:rPr>
      <w:t>6</w:t>
    </w:r>
    <w:r w:rsidR="00A50533">
      <w:rPr>
        <w:b/>
        <w:bCs/>
      </w:rPr>
      <w:t>9</w:t>
    </w:r>
    <w:r w:rsidR="007229E6">
      <w:rPr>
        <w:b/>
        <w:bCs/>
      </w:rPr>
      <w:t>98</w:t>
    </w:r>
    <w:r w:rsidR="0080322E">
      <w:rPr>
        <w:b/>
        <w:bCs/>
      </w:rPr>
      <w:t xml:space="preserve"> t</w:t>
    </w:r>
    <w:r w:rsidR="000F466A">
      <w:rPr>
        <w:b/>
        <w:bCs/>
      </w:rPr>
      <w:t xml:space="preserve">o </w:t>
    </w:r>
    <w:r w:rsidR="0080322E">
      <w:rPr>
        <w:b/>
        <w:bCs/>
      </w:rPr>
      <w:t>Construct</w:t>
    </w:r>
    <w:r w:rsidR="000F466A">
      <w:rPr>
        <w:b/>
        <w:bCs/>
      </w:rPr>
      <w:t xml:space="preserve"> and </w:t>
    </w:r>
    <w:r>
      <w:rPr>
        <w:b/>
        <w:bCs/>
      </w:rPr>
      <w:t>O</w:t>
    </w:r>
    <w:r w:rsidRPr="006243B7">
      <w:rPr>
        <w:b/>
        <w:bCs/>
      </w:rPr>
      <w:t xml:space="preserve">perate </w:t>
    </w:r>
    <w:r w:rsidR="006B2128">
      <w:rPr>
        <w:b/>
        <w:bCs/>
      </w:rPr>
      <w:t xml:space="preserve">a </w:t>
    </w:r>
    <w:r w:rsidR="007229E6">
      <w:rPr>
        <w:b/>
        <w:bCs/>
      </w:rPr>
      <w:t>200</w:t>
    </w:r>
    <w:r w:rsidR="000F466A">
      <w:rPr>
        <w:b/>
        <w:bCs/>
      </w:rPr>
      <w:t xml:space="preserve"> kW Natural Gas Fired </w:t>
    </w:r>
    <w:r w:rsidRPr="006243B7">
      <w:rPr>
        <w:b/>
        <w:bCs/>
      </w:rPr>
      <w:t xml:space="preserve">Emergency </w:t>
    </w:r>
    <w:r w:rsidR="0080322E">
      <w:rPr>
        <w:b/>
        <w:bCs/>
      </w:rPr>
      <w:t>Generator</w:t>
    </w:r>
    <w:r w:rsidR="001F03D7">
      <w:rPr>
        <w:b/>
        <w:bCs/>
      </w:rPr>
      <w:t xml:space="preserve"> Set</w:t>
    </w:r>
  </w:p>
  <w:p w:rsidR="00606D2B" w:rsidRDefault="001F03D7" w:rsidP="00606D2B">
    <w:pPr>
      <w:pStyle w:val="Header"/>
    </w:pPr>
    <w:r>
      <w:t>June 23</w:t>
    </w:r>
    <w:r w:rsidR="007229E6">
      <w:t>, 2015</w:t>
    </w:r>
  </w:p>
  <w:p w:rsidR="008B0C80" w:rsidRPr="005B24E6" w:rsidRDefault="008B0C80" w:rsidP="008B0C80">
    <w:pPr>
      <w:pStyle w:val="Header"/>
    </w:pPr>
    <w:r w:rsidRPr="005B24E6">
      <w:t xml:space="preserve">Page </w:t>
    </w:r>
    <w:r w:rsidR="00905963">
      <w:fldChar w:fldCharType="begin"/>
    </w:r>
    <w:r w:rsidR="001F4668">
      <w:instrText xml:space="preserve"> PAGE </w:instrText>
    </w:r>
    <w:r w:rsidR="00905963">
      <w:fldChar w:fldCharType="separate"/>
    </w:r>
    <w:r w:rsidR="001F03D7">
      <w:rPr>
        <w:noProof/>
      </w:rPr>
      <w:t>7</w:t>
    </w:r>
    <w:r w:rsidR="00905963">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5177E"/>
    <w:rsid w:val="0005276E"/>
    <w:rsid w:val="00071F3B"/>
    <w:rsid w:val="000938C8"/>
    <w:rsid w:val="000A115E"/>
    <w:rsid w:val="000F0675"/>
    <w:rsid w:val="000F466A"/>
    <w:rsid w:val="000F5A76"/>
    <w:rsid w:val="000F5CBE"/>
    <w:rsid w:val="001139FB"/>
    <w:rsid w:val="001146D1"/>
    <w:rsid w:val="00117635"/>
    <w:rsid w:val="00123224"/>
    <w:rsid w:val="001271BC"/>
    <w:rsid w:val="001310E0"/>
    <w:rsid w:val="001325FD"/>
    <w:rsid w:val="00171CC7"/>
    <w:rsid w:val="00177B6C"/>
    <w:rsid w:val="00184A07"/>
    <w:rsid w:val="001A2D01"/>
    <w:rsid w:val="001B1E0A"/>
    <w:rsid w:val="001C039F"/>
    <w:rsid w:val="001D2B4A"/>
    <w:rsid w:val="001D5B4E"/>
    <w:rsid w:val="001F03D7"/>
    <w:rsid w:val="001F1877"/>
    <w:rsid w:val="001F4668"/>
    <w:rsid w:val="001F53E1"/>
    <w:rsid w:val="001F715E"/>
    <w:rsid w:val="00233AD0"/>
    <w:rsid w:val="00271FB2"/>
    <w:rsid w:val="00273CAE"/>
    <w:rsid w:val="00284344"/>
    <w:rsid w:val="002908A0"/>
    <w:rsid w:val="00291931"/>
    <w:rsid w:val="002923B4"/>
    <w:rsid w:val="00295422"/>
    <w:rsid w:val="002C3391"/>
    <w:rsid w:val="002D0497"/>
    <w:rsid w:val="002E0A08"/>
    <w:rsid w:val="002E0BA2"/>
    <w:rsid w:val="002E239A"/>
    <w:rsid w:val="002E37D1"/>
    <w:rsid w:val="003173AD"/>
    <w:rsid w:val="00333AA5"/>
    <w:rsid w:val="0036020A"/>
    <w:rsid w:val="00364338"/>
    <w:rsid w:val="00367CDF"/>
    <w:rsid w:val="00367F7B"/>
    <w:rsid w:val="00370066"/>
    <w:rsid w:val="00377959"/>
    <w:rsid w:val="003B121B"/>
    <w:rsid w:val="003B2CC6"/>
    <w:rsid w:val="003F1013"/>
    <w:rsid w:val="003F2B43"/>
    <w:rsid w:val="003F3980"/>
    <w:rsid w:val="003F5CE5"/>
    <w:rsid w:val="00410FE3"/>
    <w:rsid w:val="00447879"/>
    <w:rsid w:val="00451564"/>
    <w:rsid w:val="00461A2E"/>
    <w:rsid w:val="00462A6E"/>
    <w:rsid w:val="0048011A"/>
    <w:rsid w:val="00480BB8"/>
    <w:rsid w:val="00490886"/>
    <w:rsid w:val="00493110"/>
    <w:rsid w:val="00493CEA"/>
    <w:rsid w:val="004A1250"/>
    <w:rsid w:val="004A1F09"/>
    <w:rsid w:val="004A20B4"/>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06D2B"/>
    <w:rsid w:val="00610233"/>
    <w:rsid w:val="006168BC"/>
    <w:rsid w:val="0064606E"/>
    <w:rsid w:val="00653218"/>
    <w:rsid w:val="006713D5"/>
    <w:rsid w:val="006764AE"/>
    <w:rsid w:val="00693F63"/>
    <w:rsid w:val="00694421"/>
    <w:rsid w:val="006B2128"/>
    <w:rsid w:val="006B7025"/>
    <w:rsid w:val="006C5FC1"/>
    <w:rsid w:val="007229E6"/>
    <w:rsid w:val="00723B5D"/>
    <w:rsid w:val="0073637C"/>
    <w:rsid w:val="00737C82"/>
    <w:rsid w:val="007515AE"/>
    <w:rsid w:val="00754496"/>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0596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A13D66"/>
    <w:rsid w:val="00A1461F"/>
    <w:rsid w:val="00A147AA"/>
    <w:rsid w:val="00A248DA"/>
    <w:rsid w:val="00A25BF7"/>
    <w:rsid w:val="00A37A8B"/>
    <w:rsid w:val="00A405D7"/>
    <w:rsid w:val="00A40DB4"/>
    <w:rsid w:val="00A43E2A"/>
    <w:rsid w:val="00A440E7"/>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E0B"/>
    <w:rsid w:val="00AB1F9A"/>
    <w:rsid w:val="00AC3450"/>
    <w:rsid w:val="00AD261D"/>
    <w:rsid w:val="00AE1998"/>
    <w:rsid w:val="00AF1F64"/>
    <w:rsid w:val="00AF2CF1"/>
    <w:rsid w:val="00B26DCC"/>
    <w:rsid w:val="00B331FC"/>
    <w:rsid w:val="00B430E8"/>
    <w:rsid w:val="00B521D5"/>
    <w:rsid w:val="00B576E1"/>
    <w:rsid w:val="00B57DAE"/>
    <w:rsid w:val="00B65F91"/>
    <w:rsid w:val="00B87ED0"/>
    <w:rsid w:val="00BC41C6"/>
    <w:rsid w:val="00BD58FC"/>
    <w:rsid w:val="00BF45D3"/>
    <w:rsid w:val="00C02E5E"/>
    <w:rsid w:val="00C0764F"/>
    <w:rsid w:val="00C227B4"/>
    <w:rsid w:val="00C2392A"/>
    <w:rsid w:val="00C304A8"/>
    <w:rsid w:val="00C31A1D"/>
    <w:rsid w:val="00C37EDA"/>
    <w:rsid w:val="00C55697"/>
    <w:rsid w:val="00C55769"/>
    <w:rsid w:val="00C60895"/>
    <w:rsid w:val="00CB33D2"/>
    <w:rsid w:val="00CB4F05"/>
    <w:rsid w:val="00CC77E5"/>
    <w:rsid w:val="00CE5B65"/>
    <w:rsid w:val="00D26167"/>
    <w:rsid w:val="00D33BFC"/>
    <w:rsid w:val="00D3702F"/>
    <w:rsid w:val="00D40D15"/>
    <w:rsid w:val="00D40F43"/>
    <w:rsid w:val="00D41BDE"/>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B357F"/>
    <w:rsid w:val="00DC5687"/>
    <w:rsid w:val="00DD4604"/>
    <w:rsid w:val="00DD72E6"/>
    <w:rsid w:val="00DE36DB"/>
    <w:rsid w:val="00DF5617"/>
    <w:rsid w:val="00E20183"/>
    <w:rsid w:val="00E2188B"/>
    <w:rsid w:val="00E3266E"/>
    <w:rsid w:val="00E50EC8"/>
    <w:rsid w:val="00E54043"/>
    <w:rsid w:val="00E54C82"/>
    <w:rsid w:val="00E758F6"/>
    <w:rsid w:val="00E80D89"/>
    <w:rsid w:val="00EB6FA2"/>
    <w:rsid w:val="00EB7149"/>
    <w:rsid w:val="00EE3BEE"/>
    <w:rsid w:val="00F0380E"/>
    <w:rsid w:val="00F151E6"/>
    <w:rsid w:val="00F15579"/>
    <w:rsid w:val="00F205C0"/>
    <w:rsid w:val="00F251EB"/>
    <w:rsid w:val="00F309AE"/>
    <w:rsid w:val="00F55414"/>
    <w:rsid w:val="00F63F54"/>
    <w:rsid w:val="00F72407"/>
    <w:rsid w:val="00F74C9A"/>
    <w:rsid w:val="00F97CD5"/>
    <w:rsid w:val="00FA350A"/>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257F-80D1-447D-B1BD-6F2A7119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TotalTime>
  <Pages>7</Pages>
  <Words>1895</Words>
  <Characters>10196</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12067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2014-03-11T19:22:00Z</cp:lastPrinted>
  <dcterms:created xsi:type="dcterms:W3CDTF">2015-05-11T16:01:00Z</dcterms:created>
  <dcterms:modified xsi:type="dcterms:W3CDTF">2015-05-11T16:01:00Z</dcterms:modified>
</cp:coreProperties>
</file>