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6A" w:rsidRDefault="00933B6A" w:rsidP="00933B6A">
      <w:pPr>
        <w:pStyle w:val="Header"/>
        <w:tabs>
          <w:tab w:val="clear" w:pos="4320"/>
          <w:tab w:val="clear" w:pos="8640"/>
          <w:tab w:val="left" w:pos="6810"/>
        </w:tabs>
      </w:pPr>
    </w:p>
    <w:p w:rsidR="00933B6A" w:rsidRDefault="005371E7" w:rsidP="00933B6A">
      <w:r>
        <w:t xml:space="preserve">September </w:t>
      </w:r>
      <w:r w:rsidR="006464F7">
        <w:t>4</w:t>
      </w:r>
      <w:r w:rsidR="006B3601">
        <w:t>, 2019</w:t>
      </w:r>
    </w:p>
    <w:p w:rsidR="006464F7" w:rsidRDefault="006464F7" w:rsidP="00482725"/>
    <w:p w:rsidR="00482725" w:rsidRDefault="00933B6A" w:rsidP="00482725">
      <w:r>
        <w:t>Timothy H. Edwards</w:t>
      </w:r>
    </w:p>
    <w:p w:rsidR="00933B6A" w:rsidRDefault="00933B6A" w:rsidP="00482725">
      <w:r>
        <w:t>Facilities Manager</w:t>
      </w:r>
    </w:p>
    <w:p w:rsidR="00933B6A" w:rsidRDefault="00933B6A" w:rsidP="00482725">
      <w:r>
        <w:t>National Archives and Records Administration</w:t>
      </w:r>
    </w:p>
    <w:p w:rsidR="00933B6A" w:rsidRDefault="00933B6A" w:rsidP="00482725">
      <w:r>
        <w:t>700 Pennsylvania Avenue NW</w:t>
      </w:r>
    </w:p>
    <w:p w:rsidR="00933B6A" w:rsidRDefault="00933B6A" w:rsidP="00482725">
      <w:r>
        <w:t>Washington, DC 20408-0001</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2924A5">
        <w:rPr>
          <w:b/>
          <w:bCs/>
        </w:rPr>
        <w:t>6344-R1</w:t>
      </w:r>
      <w:r w:rsidR="00482725">
        <w:rPr>
          <w:b/>
          <w:bCs/>
        </w:rPr>
        <w:t xml:space="preserve"> and </w:t>
      </w:r>
      <w:r w:rsidR="002924A5">
        <w:rPr>
          <w:b/>
          <w:bCs/>
        </w:rPr>
        <w:t>6345-R1</w:t>
      </w:r>
      <w:r w:rsidR="00482725">
        <w:rPr>
          <w:b/>
          <w:bCs/>
        </w:rPr>
        <w:t xml:space="preserve"> </w:t>
      </w:r>
      <w:r w:rsidRPr="00D72CC2">
        <w:rPr>
          <w:b/>
          <w:bCs/>
        </w:rPr>
        <w:t xml:space="preserve">to Operate </w:t>
      </w:r>
      <w:r w:rsidR="00A90053">
        <w:rPr>
          <w:b/>
          <w:bCs/>
        </w:rPr>
        <w:t>T</w:t>
      </w:r>
      <w:r w:rsidR="00482725">
        <w:rPr>
          <w:b/>
          <w:bCs/>
        </w:rPr>
        <w:t>wo</w:t>
      </w:r>
      <w:r>
        <w:rPr>
          <w:b/>
          <w:bCs/>
        </w:rPr>
        <w:t xml:space="preserve"> </w:t>
      </w:r>
      <w:r w:rsidR="002924A5">
        <w:rPr>
          <w:b/>
          <w:bCs/>
        </w:rPr>
        <w:t>Natural Gas</w:t>
      </w:r>
      <w:r w:rsidR="000B01CA">
        <w:rPr>
          <w:b/>
          <w:bCs/>
        </w:rPr>
        <w:t>-</w:t>
      </w:r>
      <w:r w:rsidR="002924A5">
        <w:rPr>
          <w:b/>
          <w:bCs/>
        </w:rPr>
        <w:t>Fired Generators</w:t>
      </w:r>
      <w:r>
        <w:rPr>
          <w:b/>
          <w:bCs/>
        </w:rPr>
        <w:t xml:space="preserve"> </w:t>
      </w:r>
      <w:r w:rsidR="00901812">
        <w:rPr>
          <w:b/>
          <w:bCs/>
        </w:rPr>
        <w:t xml:space="preserve">at </w:t>
      </w:r>
      <w:r w:rsidR="002924A5">
        <w:rPr>
          <w:b/>
          <w:bCs/>
        </w:rPr>
        <w:t>the National Archives and Records Administration</w:t>
      </w:r>
      <w:r w:rsidR="008827ED">
        <w:rPr>
          <w:b/>
          <w:bCs/>
        </w:rPr>
        <w:t xml:space="preserve">, </w:t>
      </w:r>
      <w:r w:rsidR="002924A5">
        <w:rPr>
          <w:b/>
          <w:bCs/>
        </w:rPr>
        <w:t>700 Pennsylvania Avenue NW, Washington, DC</w:t>
      </w:r>
    </w:p>
    <w:p w:rsidR="00564065" w:rsidRPr="006243B7" w:rsidRDefault="00564065" w:rsidP="00564065"/>
    <w:p w:rsidR="00564065" w:rsidRPr="006243B7" w:rsidRDefault="00564065" w:rsidP="00564065">
      <w:r w:rsidRPr="006243B7">
        <w:t xml:space="preserve">Dear </w:t>
      </w:r>
      <w:r>
        <w:t xml:space="preserve">Mr. </w:t>
      </w:r>
      <w:r w:rsidR="002924A5">
        <w:t>Edwards</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AC1D0B">
        <w:t xml:space="preserve">the </w:t>
      </w:r>
      <w:r w:rsidR="00833C45">
        <w:t>National Archives and Records</w:t>
      </w:r>
      <w:r w:rsidR="00AC1D0B">
        <w:t xml:space="preserve"> Administration (</w:t>
      </w:r>
      <w:r w:rsidR="00024F87">
        <w:t>“</w:t>
      </w:r>
      <w:r w:rsidR="00AC1D0B">
        <w:t>the Permittee</w:t>
      </w:r>
      <w:r w:rsidR="00024F87">
        <w:t>”</w:t>
      </w:r>
      <w:r w:rsidR="00AC1D0B">
        <w:t xml:space="preserve">) to operate the two (2) </w:t>
      </w:r>
      <w:r w:rsidR="00F5317B">
        <w:t xml:space="preserve">75 </w:t>
      </w:r>
      <w:proofErr w:type="spellStart"/>
      <w:r w:rsidR="00F5317B">
        <w:t>kW</w:t>
      </w:r>
      <w:r w:rsidR="00EB494E">
        <w:t>e</w:t>
      </w:r>
      <w:proofErr w:type="spellEnd"/>
      <w:r w:rsidR="00AC1D0B">
        <w:t xml:space="preserve"> </w:t>
      </w:r>
      <w:r w:rsidR="00833C45">
        <w:t>natural gas-fired generator</w:t>
      </w:r>
      <w:r w:rsidR="00B060E6">
        <w:t xml:space="preserve"> set</w:t>
      </w:r>
      <w:r w:rsidR="00833C45">
        <w:t>s</w:t>
      </w:r>
      <w:r w:rsidR="00B060E6" w:rsidRPr="00B060E6">
        <w:t xml:space="preserve"> </w:t>
      </w:r>
      <w:r w:rsidR="00B060E6">
        <w:t>listed below</w:t>
      </w:r>
      <w:r w:rsidR="003002A7">
        <w:t xml:space="preserve">, </w:t>
      </w:r>
      <w:r w:rsidR="00B060E6">
        <w:t xml:space="preserve">as </w:t>
      </w:r>
      <w:r w:rsidR="00516331">
        <w:t xml:space="preserve">part of </w:t>
      </w:r>
      <w:r w:rsidR="00B060E6">
        <w:t xml:space="preserve">a </w:t>
      </w:r>
      <w:r w:rsidR="00516331">
        <w:t xml:space="preserve">combined heat and power </w:t>
      </w:r>
      <w:r w:rsidR="00B060E6">
        <w:t>system</w:t>
      </w:r>
      <w:r w:rsidR="00516331">
        <w:t xml:space="preserve"> </w:t>
      </w:r>
      <w:r w:rsidR="00B060E6">
        <w:t>(that a</w:t>
      </w:r>
      <w:r w:rsidR="00516331">
        <w:t>lso includ</w:t>
      </w:r>
      <w:r w:rsidR="00B060E6">
        <w:t xml:space="preserve">es </w:t>
      </w:r>
      <w:r w:rsidR="00516331">
        <w:t>6 permit</w:t>
      </w:r>
      <w:r w:rsidR="003002A7">
        <w:t>-exempt 2 MMBtu/</w:t>
      </w:r>
      <w:proofErr w:type="spellStart"/>
      <w:r w:rsidR="003002A7">
        <w:t>hr</w:t>
      </w:r>
      <w:proofErr w:type="spellEnd"/>
      <w:r w:rsidR="003002A7">
        <w:t xml:space="preserve"> natural gas boilers</w:t>
      </w:r>
      <w:r w:rsidR="00B060E6">
        <w:t>),</w:t>
      </w:r>
      <w:r w:rsidR="008C623E">
        <w:t xml:space="preserve"> </w:t>
      </w:r>
      <w:r>
        <w:t>located</w:t>
      </w:r>
      <w:r w:rsidR="003002A7">
        <w:t xml:space="preserve"> at the National Archives and Records Administration,</w:t>
      </w:r>
      <w:r w:rsidR="00FF4AF0">
        <w:t xml:space="preserve"> 700 Pennsylvania Avenue NW, </w:t>
      </w:r>
      <w:r w:rsidR="008C623E">
        <w:t>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9720" w:type="dxa"/>
        <w:tblInd w:w="108" w:type="dxa"/>
        <w:tblLayout w:type="fixed"/>
        <w:tblLook w:val="04A0" w:firstRow="1" w:lastRow="0" w:firstColumn="1" w:lastColumn="0" w:noHBand="0" w:noVBand="1"/>
      </w:tblPr>
      <w:tblGrid>
        <w:gridCol w:w="2970"/>
        <w:gridCol w:w="1440"/>
        <w:gridCol w:w="1620"/>
        <w:gridCol w:w="1260"/>
        <w:gridCol w:w="1350"/>
        <w:gridCol w:w="1080"/>
      </w:tblGrid>
      <w:tr w:rsidR="00A35222" w:rsidTr="00A35222">
        <w:tc>
          <w:tcPr>
            <w:tcW w:w="2970" w:type="dxa"/>
          </w:tcPr>
          <w:p w:rsidR="0071289B" w:rsidRPr="0071289B" w:rsidRDefault="00A32201" w:rsidP="00A32201">
            <w:pPr>
              <w:tabs>
                <w:tab w:val="center" w:pos="4680"/>
              </w:tabs>
              <w:ind w:left="-18" w:firstLine="18"/>
              <w:jc w:val="center"/>
              <w:rPr>
                <w:b/>
              </w:rPr>
            </w:pPr>
            <w:r>
              <w:rPr>
                <w:b/>
              </w:rPr>
              <w:t>Equipment Location</w:t>
            </w:r>
            <w:r w:rsidR="00A35222">
              <w:rPr>
                <w:b/>
              </w:rPr>
              <w:t xml:space="preserve"> Address</w:t>
            </w:r>
          </w:p>
        </w:tc>
        <w:tc>
          <w:tcPr>
            <w:tcW w:w="1440" w:type="dxa"/>
          </w:tcPr>
          <w:p w:rsidR="0071289B" w:rsidRPr="0071289B" w:rsidRDefault="00BA6A2E" w:rsidP="0071289B">
            <w:pPr>
              <w:tabs>
                <w:tab w:val="center" w:pos="4680"/>
              </w:tabs>
              <w:jc w:val="center"/>
              <w:rPr>
                <w:b/>
              </w:rPr>
            </w:pPr>
            <w:r>
              <w:rPr>
                <w:b/>
              </w:rPr>
              <w:t xml:space="preserve">Equipment </w:t>
            </w:r>
            <w:r w:rsidR="00A32201" w:rsidRPr="0071289B">
              <w:rPr>
                <w:b/>
              </w:rPr>
              <w:t>Name</w:t>
            </w:r>
          </w:p>
        </w:tc>
        <w:tc>
          <w:tcPr>
            <w:tcW w:w="1620" w:type="dxa"/>
          </w:tcPr>
          <w:p w:rsidR="0071289B" w:rsidRPr="0071289B" w:rsidRDefault="00A375E2" w:rsidP="0071289B">
            <w:pPr>
              <w:tabs>
                <w:tab w:val="center" w:pos="4680"/>
              </w:tabs>
              <w:jc w:val="center"/>
              <w:rPr>
                <w:b/>
              </w:rPr>
            </w:pPr>
            <w:r>
              <w:rPr>
                <w:b/>
              </w:rPr>
              <w:t xml:space="preserve">Unit </w:t>
            </w:r>
            <w:r w:rsidR="00BA6A2E">
              <w:rPr>
                <w:b/>
              </w:rPr>
              <w:t>Identi</w:t>
            </w:r>
            <w:r>
              <w:rPr>
                <w:b/>
              </w:rPr>
              <w:t>fication</w:t>
            </w:r>
          </w:p>
        </w:tc>
        <w:tc>
          <w:tcPr>
            <w:tcW w:w="1260" w:type="dxa"/>
          </w:tcPr>
          <w:p w:rsidR="0071289B" w:rsidRPr="0071289B" w:rsidRDefault="004E321C" w:rsidP="004E321C">
            <w:pPr>
              <w:tabs>
                <w:tab w:val="center" w:pos="4680"/>
              </w:tabs>
              <w:jc w:val="center"/>
              <w:rPr>
                <w:b/>
              </w:rPr>
            </w:pPr>
            <w:r>
              <w:rPr>
                <w:b/>
              </w:rPr>
              <w:t>Engine Serial Nu</w:t>
            </w:r>
            <w:r w:rsidR="00A375E2">
              <w:rPr>
                <w:b/>
              </w:rPr>
              <w:t>mber</w:t>
            </w:r>
          </w:p>
        </w:tc>
        <w:tc>
          <w:tcPr>
            <w:tcW w:w="1350" w:type="dxa"/>
          </w:tcPr>
          <w:p w:rsidR="0071289B" w:rsidRPr="0071289B" w:rsidRDefault="00A375E2" w:rsidP="00A32201">
            <w:pPr>
              <w:tabs>
                <w:tab w:val="center" w:pos="4680"/>
              </w:tabs>
              <w:jc w:val="center"/>
              <w:rPr>
                <w:b/>
              </w:rPr>
            </w:pPr>
            <w:r>
              <w:rPr>
                <w:b/>
              </w:rPr>
              <w:t>Generator Output</w:t>
            </w:r>
            <w:r w:rsidR="00EB494E">
              <w:rPr>
                <w:b/>
              </w:rPr>
              <w:t xml:space="preserve"> (</w:t>
            </w:r>
            <w:proofErr w:type="spellStart"/>
            <w:r w:rsidR="00EB494E">
              <w:rPr>
                <w:b/>
              </w:rPr>
              <w:t>kWe</w:t>
            </w:r>
            <w:proofErr w:type="spellEnd"/>
            <w:r w:rsidR="00EB494E">
              <w:rPr>
                <w:b/>
              </w:rPr>
              <w:t>)</w:t>
            </w:r>
          </w:p>
        </w:tc>
        <w:tc>
          <w:tcPr>
            <w:tcW w:w="1080" w:type="dxa"/>
          </w:tcPr>
          <w:p w:rsidR="0071289B" w:rsidRPr="0071289B" w:rsidRDefault="0071289B" w:rsidP="0071289B">
            <w:pPr>
              <w:tabs>
                <w:tab w:val="center" w:pos="4680"/>
              </w:tabs>
              <w:jc w:val="center"/>
              <w:rPr>
                <w:b/>
              </w:rPr>
            </w:pPr>
            <w:r w:rsidRPr="0071289B">
              <w:rPr>
                <w:b/>
              </w:rPr>
              <w:t>Permit Number</w:t>
            </w:r>
          </w:p>
        </w:tc>
      </w:tr>
      <w:tr w:rsidR="00A35222" w:rsidTr="00A35222">
        <w:tc>
          <w:tcPr>
            <w:tcW w:w="2970" w:type="dxa"/>
          </w:tcPr>
          <w:p w:rsidR="0071289B" w:rsidRPr="00A32201" w:rsidRDefault="009B4082" w:rsidP="00C2412E">
            <w:pPr>
              <w:tabs>
                <w:tab w:val="center" w:pos="4680"/>
              </w:tabs>
            </w:pPr>
            <w:r>
              <w:t xml:space="preserve">South Basement Boiler Room </w:t>
            </w:r>
            <w:r w:rsidR="00A375E2">
              <w:t>700</w:t>
            </w:r>
            <w:r w:rsidR="00EB494E">
              <w:t xml:space="preserve"> Pennsylvania Ave.</w:t>
            </w:r>
            <w:r w:rsidR="00A35222">
              <w:t xml:space="preserve"> </w:t>
            </w:r>
            <w:r w:rsidR="00EB494E">
              <w:t>NW Washington, DC</w:t>
            </w:r>
          </w:p>
        </w:tc>
        <w:tc>
          <w:tcPr>
            <w:tcW w:w="1440" w:type="dxa"/>
          </w:tcPr>
          <w:p w:rsidR="0071289B" w:rsidRDefault="00A35222" w:rsidP="00564065">
            <w:pPr>
              <w:tabs>
                <w:tab w:val="center" w:pos="4680"/>
              </w:tabs>
            </w:pPr>
            <w:r>
              <w:t>AEG #138</w:t>
            </w:r>
          </w:p>
        </w:tc>
        <w:tc>
          <w:tcPr>
            <w:tcW w:w="1620" w:type="dxa"/>
          </w:tcPr>
          <w:p w:rsidR="0071289B" w:rsidRDefault="00A35222" w:rsidP="00564065">
            <w:pPr>
              <w:tabs>
                <w:tab w:val="center" w:pos="4680"/>
              </w:tabs>
            </w:pPr>
            <w:r>
              <w:t>Cogen #1</w:t>
            </w:r>
          </w:p>
        </w:tc>
        <w:tc>
          <w:tcPr>
            <w:tcW w:w="1260" w:type="dxa"/>
          </w:tcPr>
          <w:p w:rsidR="0071289B" w:rsidRDefault="00A35222" w:rsidP="0071289B">
            <w:pPr>
              <w:tabs>
                <w:tab w:val="center" w:pos="4680"/>
              </w:tabs>
              <w:jc w:val="center"/>
            </w:pPr>
            <w:r>
              <w:t>00069483</w:t>
            </w:r>
          </w:p>
        </w:tc>
        <w:tc>
          <w:tcPr>
            <w:tcW w:w="1350" w:type="dxa"/>
          </w:tcPr>
          <w:p w:rsidR="0071289B" w:rsidRDefault="00A35222" w:rsidP="0071289B">
            <w:pPr>
              <w:tabs>
                <w:tab w:val="center" w:pos="4680"/>
              </w:tabs>
              <w:jc w:val="center"/>
            </w:pPr>
            <w:r>
              <w:t>75</w:t>
            </w:r>
          </w:p>
        </w:tc>
        <w:tc>
          <w:tcPr>
            <w:tcW w:w="1080" w:type="dxa"/>
          </w:tcPr>
          <w:p w:rsidR="0071289B" w:rsidRDefault="00A35222" w:rsidP="008C623E">
            <w:pPr>
              <w:tabs>
                <w:tab w:val="center" w:pos="4680"/>
              </w:tabs>
              <w:jc w:val="center"/>
            </w:pPr>
            <w:r>
              <w:t>6344-R1</w:t>
            </w:r>
          </w:p>
        </w:tc>
      </w:tr>
      <w:tr w:rsidR="00A35222" w:rsidTr="00A35222">
        <w:tc>
          <w:tcPr>
            <w:tcW w:w="2970" w:type="dxa"/>
          </w:tcPr>
          <w:p w:rsidR="0071289B" w:rsidRDefault="009B4082" w:rsidP="00564065">
            <w:pPr>
              <w:tabs>
                <w:tab w:val="center" w:pos="4680"/>
              </w:tabs>
            </w:pPr>
            <w:r>
              <w:t>South Basement Boiler Room 700 Pennsylvania Ave. NW Washington, DC</w:t>
            </w:r>
          </w:p>
        </w:tc>
        <w:tc>
          <w:tcPr>
            <w:tcW w:w="1440" w:type="dxa"/>
          </w:tcPr>
          <w:p w:rsidR="0071289B" w:rsidRDefault="004E321C" w:rsidP="00564065">
            <w:pPr>
              <w:tabs>
                <w:tab w:val="center" w:pos="4680"/>
              </w:tabs>
            </w:pPr>
            <w:r>
              <w:t>AEG #139</w:t>
            </w:r>
          </w:p>
        </w:tc>
        <w:tc>
          <w:tcPr>
            <w:tcW w:w="1620" w:type="dxa"/>
          </w:tcPr>
          <w:p w:rsidR="0071289B" w:rsidRDefault="004E321C" w:rsidP="00564065">
            <w:pPr>
              <w:tabs>
                <w:tab w:val="center" w:pos="4680"/>
              </w:tabs>
            </w:pPr>
            <w:r>
              <w:t>Cogen #2</w:t>
            </w:r>
          </w:p>
        </w:tc>
        <w:tc>
          <w:tcPr>
            <w:tcW w:w="1260" w:type="dxa"/>
          </w:tcPr>
          <w:p w:rsidR="0071289B" w:rsidRDefault="004E321C" w:rsidP="0071289B">
            <w:pPr>
              <w:tabs>
                <w:tab w:val="center" w:pos="4680"/>
              </w:tabs>
              <w:jc w:val="center"/>
            </w:pPr>
            <w:r>
              <w:t>00076280</w:t>
            </w:r>
          </w:p>
        </w:tc>
        <w:tc>
          <w:tcPr>
            <w:tcW w:w="1350" w:type="dxa"/>
          </w:tcPr>
          <w:p w:rsidR="0071289B" w:rsidRDefault="00A35222" w:rsidP="0071289B">
            <w:pPr>
              <w:tabs>
                <w:tab w:val="center" w:pos="4680"/>
              </w:tabs>
              <w:jc w:val="center"/>
            </w:pPr>
            <w:r>
              <w:t>75</w:t>
            </w:r>
          </w:p>
        </w:tc>
        <w:tc>
          <w:tcPr>
            <w:tcW w:w="1080" w:type="dxa"/>
          </w:tcPr>
          <w:p w:rsidR="0071289B" w:rsidRDefault="00A35222" w:rsidP="00A35222">
            <w:pPr>
              <w:tabs>
                <w:tab w:val="center" w:pos="4680"/>
              </w:tabs>
              <w:jc w:val="center"/>
            </w:pPr>
            <w:r>
              <w:t>6345-R1</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C755AB">
        <w:t>Ma</w:t>
      </w:r>
      <w:r w:rsidR="008A33C6">
        <w:t>rch</w:t>
      </w:r>
      <w:r w:rsidR="00C755AB">
        <w:t xml:space="preserve"> </w:t>
      </w:r>
      <w:r w:rsidR="008A33C6">
        <w:t>1</w:t>
      </w:r>
      <w:r>
        <w:t>, 201</w:t>
      </w:r>
      <w:r w:rsidR="008A33C6">
        <w:t>8</w:t>
      </w:r>
      <w:r>
        <w:t>, the application</w:t>
      </w:r>
      <w:r w:rsidR="00C755AB">
        <w:t>s</w:t>
      </w:r>
      <w:r>
        <w:t xml:space="preserve"> </w:t>
      </w:r>
      <w:r w:rsidR="00C755AB">
        <w:t>are</w:t>
      </w:r>
      <w:r>
        <w:t xml:space="preserve"> hereby approved, </w:t>
      </w:r>
      <w:r w:rsidR="00DC389C">
        <w:t xml:space="preserve">and the operation of the </w:t>
      </w:r>
      <w:r w:rsidR="009D2BC4">
        <w:t>Cogeneration generators AEG #138 and AEG #139</w:t>
      </w:r>
      <w:r w:rsidR="00DC389C">
        <w:t xml:space="preserve"> 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operation of</w:t>
      </w:r>
      <w:r w:rsidR="00564065">
        <w:t xml:space="preserve"> the</w:t>
      </w:r>
      <w:r w:rsidR="00564065" w:rsidRPr="006A4B1F">
        <w:t xml:space="preserve"> </w:t>
      </w:r>
      <w:r w:rsidR="004E321C">
        <w:t>Cogen generators</w:t>
      </w:r>
      <w:r w:rsidR="00564065" w:rsidRPr="006A4B1F">
        <w:t>.</w:t>
      </w:r>
    </w:p>
    <w:p w:rsidR="00564065" w:rsidRDefault="00564065" w:rsidP="00564065">
      <w:pPr>
        <w:ind w:left="720" w:hanging="360"/>
      </w:pPr>
    </w:p>
    <w:p w:rsidR="00B46F61" w:rsidRDefault="00564065" w:rsidP="00B46F61">
      <w:pPr>
        <w:pStyle w:val="ListParagraph"/>
        <w:numPr>
          <w:ilvl w:val="1"/>
          <w:numId w:val="3"/>
        </w:numPr>
      </w:pPr>
      <w:r w:rsidRPr="006243B7">
        <w:t>This</w:t>
      </w:r>
      <w:r>
        <w:t xml:space="preserve"> </w:t>
      </w:r>
      <w:r w:rsidR="00C755AB">
        <w:t xml:space="preserve">set of </w:t>
      </w:r>
      <w:r>
        <w:t>permit</w:t>
      </w:r>
      <w:r w:rsidR="00C755AB">
        <w:t>s</w:t>
      </w:r>
      <w:r>
        <w:t xml:space="preserve"> will expire</w:t>
      </w:r>
      <w:r w:rsidRPr="006243B7">
        <w:t xml:space="preserve"> on </w:t>
      </w:r>
      <w:r w:rsidR="005371E7">
        <w:t>S</w:t>
      </w:r>
      <w:r w:rsidR="006464F7">
        <w:t>eptember 3</w:t>
      </w:r>
      <w:r w:rsidR="006B3601">
        <w:t>, 2024</w:t>
      </w:r>
      <w:r w:rsidRPr="006243B7">
        <w:t xml:space="preserve">.  If continued operation after this </w:t>
      </w:r>
      <w:r w:rsidRPr="006243B7">
        <w:lastRenderedPageBreak/>
        <w:t xml:space="preserve">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5371E7">
        <w:t>J</w:t>
      </w:r>
      <w:r w:rsidR="006464F7">
        <w:t>une 3</w:t>
      </w:r>
      <w:r w:rsidR="00136B8D">
        <w:t>, 202</w:t>
      </w:r>
      <w:r w:rsidR="006B3601">
        <w:t>4</w:t>
      </w:r>
      <w:r>
        <w:t>.</w:t>
      </w:r>
    </w:p>
    <w:p w:rsidR="00564065" w:rsidRDefault="00B46F61" w:rsidP="00B46F61">
      <w:pPr>
        <w:ind w:left="360"/>
      </w:pPr>
      <w:r>
        <w:t xml:space="preserve">     </w:t>
      </w:r>
      <w:r w:rsidR="00564065">
        <w:t xml:space="preserve"> </w:t>
      </w:r>
      <w:r w:rsidR="00564065" w:rsidRPr="006A4B1F">
        <w:t>[20 DCMR 200.4]</w:t>
      </w:r>
    </w:p>
    <w:p w:rsidR="00564065" w:rsidRDefault="00564065" w:rsidP="00564065">
      <w:pPr>
        <w:ind w:left="720" w:hanging="360"/>
      </w:pPr>
    </w:p>
    <w:p w:rsidR="00564065" w:rsidRDefault="000B01CA" w:rsidP="00B46F61">
      <w:pPr>
        <w:pStyle w:val="ListParagraph"/>
        <w:numPr>
          <w:ilvl w:val="0"/>
          <w:numId w:val="1"/>
        </w:numPr>
      </w:pPr>
      <w:r>
        <w:t>Operation</w:t>
      </w:r>
      <w:r w:rsidR="00564065">
        <w:t xml:space="preserve"> of equipment under the authority of this </w:t>
      </w:r>
      <w:r w:rsidR="007B18E8">
        <w:t xml:space="preserve">set of </w:t>
      </w:r>
      <w:r w:rsidR="00564065">
        <w:t>permit</w:t>
      </w:r>
      <w:r w:rsidR="007B18E8">
        <w:t>s</w:t>
      </w:r>
      <w:r w:rsidR="00564065">
        <w:t xml:space="preserve"> shall be considered acceptance of its terms and conditions</w:t>
      </w:r>
      <w:r w:rsidR="00564065" w:rsidRPr="006243B7">
        <w:t>.</w:t>
      </w:r>
    </w:p>
    <w:p w:rsidR="00B46F61" w:rsidRDefault="00B46F61" w:rsidP="00B46F61">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DE7803" w:rsidP="00564065">
      <w:pPr>
        <w:numPr>
          <w:ilvl w:val="0"/>
          <w:numId w:val="1"/>
        </w:numPr>
      </w:pPr>
      <w:r>
        <w:t>This set of permits supersedes Permit No</w:t>
      </w:r>
      <w:r w:rsidR="00B060E6">
        <w:t>s</w:t>
      </w:r>
      <w:r>
        <w:t>. 6344 and 6345 that expired on August 25, 2013</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704174" w:rsidRDefault="00704174" w:rsidP="00704174">
      <w:pPr>
        <w:ind w:left="720" w:hanging="360"/>
      </w:pPr>
    </w:p>
    <w:p w:rsidR="00704174" w:rsidRDefault="00704174" w:rsidP="00704174">
      <w:pPr>
        <w:ind w:left="720" w:hanging="360"/>
      </w:pPr>
      <w:r w:rsidRPr="006243B7">
        <w:t>a.</w:t>
      </w:r>
      <w:r w:rsidRPr="006243B7">
        <w:tab/>
      </w:r>
      <w:r>
        <w:t xml:space="preserve">Emissions from </w:t>
      </w:r>
      <w:r w:rsidR="00B060E6">
        <w:t>each</w:t>
      </w:r>
      <w:r>
        <w:t xml:space="preserve"> unit shall not exceed those in the following table [40 CFR 60.4233(e) and Subpart JJJJ, Table 1]:</w:t>
      </w:r>
    </w:p>
    <w:p w:rsidR="00704174" w:rsidRDefault="00704174" w:rsidP="00704174">
      <w:pPr>
        <w:ind w:left="360" w:hanging="36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0"/>
        <w:gridCol w:w="1440"/>
        <w:gridCol w:w="1440"/>
        <w:gridCol w:w="1350"/>
        <w:gridCol w:w="1368"/>
      </w:tblGrid>
      <w:tr w:rsidR="00704174" w:rsidTr="00F004BD">
        <w:tc>
          <w:tcPr>
            <w:tcW w:w="8658" w:type="dxa"/>
            <w:gridSpan w:val="6"/>
          </w:tcPr>
          <w:p w:rsidR="00704174" w:rsidRPr="0074136B" w:rsidRDefault="00704174" w:rsidP="00F004BD">
            <w:pPr>
              <w:jc w:val="center"/>
              <w:rPr>
                <w:b/>
              </w:rPr>
            </w:pPr>
            <w:r w:rsidRPr="0074136B">
              <w:rPr>
                <w:b/>
              </w:rPr>
              <w:t>Pollutant Emission Limits</w:t>
            </w:r>
            <w:r>
              <w:rPr>
                <w:b/>
                <w:vertAlign w:val="superscript"/>
              </w:rPr>
              <w:t>1</w:t>
            </w:r>
          </w:p>
        </w:tc>
      </w:tr>
      <w:tr w:rsidR="00704174" w:rsidTr="00F004BD">
        <w:tc>
          <w:tcPr>
            <w:tcW w:w="4500" w:type="dxa"/>
            <w:gridSpan w:val="3"/>
          </w:tcPr>
          <w:p w:rsidR="00704174" w:rsidRDefault="00704174" w:rsidP="00F004BD">
            <w:pPr>
              <w:jc w:val="center"/>
            </w:pPr>
            <w:r w:rsidRPr="0074136B">
              <w:rPr>
                <w:b/>
              </w:rPr>
              <w:t>(g/HP-</w:t>
            </w:r>
            <w:proofErr w:type="spellStart"/>
            <w:r w:rsidRPr="0074136B">
              <w:rPr>
                <w:b/>
              </w:rPr>
              <w:t>hr</w:t>
            </w:r>
            <w:proofErr w:type="spellEnd"/>
            <w:r w:rsidRPr="0074136B">
              <w:rPr>
                <w:b/>
              </w:rPr>
              <w:t>)</w:t>
            </w:r>
          </w:p>
        </w:tc>
        <w:tc>
          <w:tcPr>
            <w:tcW w:w="4158" w:type="dxa"/>
            <w:gridSpan w:val="3"/>
          </w:tcPr>
          <w:p w:rsidR="00704174" w:rsidRPr="000E010A" w:rsidRDefault="00704174" w:rsidP="00F004BD">
            <w:pPr>
              <w:jc w:val="center"/>
              <w:rPr>
                <w:vertAlign w:val="subscript"/>
              </w:rPr>
            </w:pPr>
            <w:proofErr w:type="spellStart"/>
            <w:r>
              <w:t>ppmvd</w:t>
            </w:r>
            <w:proofErr w:type="spellEnd"/>
            <w:r>
              <w:t xml:space="preserve"> at 15% O</w:t>
            </w:r>
            <w:r>
              <w:rPr>
                <w:vertAlign w:val="subscript"/>
              </w:rPr>
              <w:t>2</w:t>
            </w:r>
          </w:p>
        </w:tc>
      </w:tr>
      <w:tr w:rsidR="00704174" w:rsidTr="00F004BD">
        <w:tc>
          <w:tcPr>
            <w:tcW w:w="1530" w:type="dxa"/>
          </w:tcPr>
          <w:p w:rsidR="00704174" w:rsidRPr="00730BFF" w:rsidRDefault="00704174" w:rsidP="00F004BD">
            <w:pPr>
              <w:jc w:val="center"/>
            </w:pPr>
            <w:r w:rsidRPr="00730BFF">
              <w:t>NOx</w:t>
            </w:r>
            <w:r>
              <w:t xml:space="preserve"> </w:t>
            </w:r>
          </w:p>
        </w:tc>
        <w:tc>
          <w:tcPr>
            <w:tcW w:w="1530" w:type="dxa"/>
          </w:tcPr>
          <w:p w:rsidR="00704174" w:rsidRPr="00730BFF" w:rsidRDefault="00704174" w:rsidP="00F004BD">
            <w:pPr>
              <w:jc w:val="center"/>
            </w:pPr>
            <w:r>
              <w:t>CO</w:t>
            </w:r>
          </w:p>
        </w:tc>
        <w:tc>
          <w:tcPr>
            <w:tcW w:w="1440" w:type="dxa"/>
          </w:tcPr>
          <w:p w:rsidR="00704174" w:rsidRPr="000E010A" w:rsidRDefault="00704174" w:rsidP="00F004BD">
            <w:pPr>
              <w:jc w:val="center"/>
              <w:rPr>
                <w:vertAlign w:val="superscript"/>
              </w:rPr>
            </w:pPr>
            <w:r>
              <w:t>VOC</w:t>
            </w:r>
            <w:r>
              <w:rPr>
                <w:vertAlign w:val="superscript"/>
              </w:rPr>
              <w:t>2</w:t>
            </w:r>
          </w:p>
        </w:tc>
        <w:tc>
          <w:tcPr>
            <w:tcW w:w="1440" w:type="dxa"/>
          </w:tcPr>
          <w:p w:rsidR="00704174" w:rsidRPr="00730BFF" w:rsidRDefault="00704174" w:rsidP="00F004BD">
            <w:pPr>
              <w:jc w:val="center"/>
            </w:pPr>
            <w:r w:rsidRPr="00730BFF">
              <w:t>NOx</w:t>
            </w:r>
            <w:r>
              <w:t xml:space="preserve"> </w:t>
            </w:r>
          </w:p>
        </w:tc>
        <w:tc>
          <w:tcPr>
            <w:tcW w:w="1350" w:type="dxa"/>
          </w:tcPr>
          <w:p w:rsidR="00704174" w:rsidRPr="00730BFF" w:rsidRDefault="00704174" w:rsidP="00F004BD">
            <w:pPr>
              <w:jc w:val="center"/>
            </w:pPr>
            <w:r>
              <w:t>CO</w:t>
            </w:r>
          </w:p>
        </w:tc>
        <w:tc>
          <w:tcPr>
            <w:tcW w:w="1368" w:type="dxa"/>
          </w:tcPr>
          <w:p w:rsidR="00704174" w:rsidRPr="000E010A" w:rsidRDefault="00704174" w:rsidP="00F004BD">
            <w:pPr>
              <w:jc w:val="center"/>
              <w:rPr>
                <w:vertAlign w:val="superscript"/>
              </w:rPr>
            </w:pPr>
            <w:r>
              <w:t>VOC</w:t>
            </w:r>
            <w:r>
              <w:rPr>
                <w:vertAlign w:val="superscript"/>
              </w:rPr>
              <w:t>2</w:t>
            </w:r>
          </w:p>
        </w:tc>
      </w:tr>
      <w:tr w:rsidR="00704174" w:rsidTr="00F004BD">
        <w:tc>
          <w:tcPr>
            <w:tcW w:w="1530" w:type="dxa"/>
          </w:tcPr>
          <w:p w:rsidR="00704174" w:rsidRDefault="00704174" w:rsidP="00F004BD">
            <w:pPr>
              <w:jc w:val="center"/>
            </w:pPr>
            <w:r>
              <w:t>2.0</w:t>
            </w:r>
          </w:p>
        </w:tc>
        <w:tc>
          <w:tcPr>
            <w:tcW w:w="1530" w:type="dxa"/>
          </w:tcPr>
          <w:p w:rsidR="00704174" w:rsidRDefault="00704174" w:rsidP="00F004BD">
            <w:pPr>
              <w:jc w:val="center"/>
            </w:pPr>
            <w:r>
              <w:t>4.0</w:t>
            </w:r>
          </w:p>
        </w:tc>
        <w:tc>
          <w:tcPr>
            <w:tcW w:w="1440" w:type="dxa"/>
          </w:tcPr>
          <w:p w:rsidR="00704174" w:rsidRDefault="00704174" w:rsidP="00F004BD">
            <w:pPr>
              <w:jc w:val="center"/>
            </w:pPr>
            <w:r>
              <w:t>1.0</w:t>
            </w:r>
          </w:p>
        </w:tc>
        <w:tc>
          <w:tcPr>
            <w:tcW w:w="1440" w:type="dxa"/>
          </w:tcPr>
          <w:p w:rsidR="00704174" w:rsidRDefault="00704174" w:rsidP="00F004BD">
            <w:pPr>
              <w:jc w:val="center"/>
            </w:pPr>
            <w:r>
              <w:t>160</w:t>
            </w:r>
          </w:p>
        </w:tc>
        <w:tc>
          <w:tcPr>
            <w:tcW w:w="1350" w:type="dxa"/>
          </w:tcPr>
          <w:p w:rsidR="00704174" w:rsidRDefault="00704174" w:rsidP="00F004BD">
            <w:pPr>
              <w:jc w:val="center"/>
            </w:pPr>
            <w:r>
              <w:t>540</w:t>
            </w:r>
          </w:p>
        </w:tc>
        <w:tc>
          <w:tcPr>
            <w:tcW w:w="1368" w:type="dxa"/>
          </w:tcPr>
          <w:p w:rsidR="00704174" w:rsidRDefault="00704174" w:rsidP="00F004BD">
            <w:pPr>
              <w:jc w:val="center"/>
            </w:pPr>
            <w:r>
              <w:t>86</w:t>
            </w:r>
          </w:p>
        </w:tc>
      </w:tr>
    </w:tbl>
    <w:p w:rsidR="00704174" w:rsidRDefault="00704174" w:rsidP="00704174">
      <w:pPr>
        <w:ind w:left="810"/>
        <w:rPr>
          <w:sz w:val="20"/>
          <w:szCs w:val="20"/>
        </w:rPr>
      </w:pPr>
      <w:r w:rsidRPr="000E010A">
        <w:rPr>
          <w:sz w:val="20"/>
          <w:szCs w:val="20"/>
          <w:vertAlign w:val="superscript"/>
        </w:rPr>
        <w:t>1</w:t>
      </w:r>
      <w:r w:rsidRPr="000E010A">
        <w:rPr>
          <w:sz w:val="20"/>
          <w:szCs w:val="20"/>
        </w:rPr>
        <w:t>The Permittee may choose to comply with the emission standards in this table in units of either g/HP-</w:t>
      </w:r>
      <w:proofErr w:type="spellStart"/>
      <w:r w:rsidRPr="000E010A">
        <w:rPr>
          <w:sz w:val="20"/>
          <w:szCs w:val="20"/>
        </w:rPr>
        <w:t>hr</w:t>
      </w:r>
      <w:proofErr w:type="spellEnd"/>
      <w:r w:rsidRPr="000E010A">
        <w:rPr>
          <w:sz w:val="20"/>
          <w:szCs w:val="20"/>
        </w:rPr>
        <w:t xml:space="preserve"> or </w:t>
      </w:r>
      <w:proofErr w:type="spellStart"/>
      <w:r w:rsidRPr="000E010A">
        <w:rPr>
          <w:sz w:val="20"/>
          <w:szCs w:val="20"/>
        </w:rPr>
        <w:t>ppmvd</w:t>
      </w:r>
      <w:proofErr w:type="spellEnd"/>
      <w:r w:rsidRPr="000E010A">
        <w:rPr>
          <w:sz w:val="20"/>
          <w:szCs w:val="20"/>
        </w:rPr>
        <w:t xml:space="preserve"> at 15 percent O</w:t>
      </w:r>
      <w:r w:rsidRPr="000E010A">
        <w:rPr>
          <w:sz w:val="20"/>
          <w:szCs w:val="20"/>
          <w:vertAlign w:val="subscript"/>
        </w:rPr>
        <w:t>2</w:t>
      </w:r>
      <w:r w:rsidRPr="000E010A">
        <w:rPr>
          <w:sz w:val="20"/>
          <w:szCs w:val="20"/>
        </w:rPr>
        <w:t>.</w:t>
      </w:r>
    </w:p>
    <w:p w:rsidR="00704174" w:rsidRPr="000E010A" w:rsidRDefault="00704174" w:rsidP="00704174">
      <w:pPr>
        <w:ind w:left="810"/>
        <w:rPr>
          <w:sz w:val="20"/>
          <w:szCs w:val="20"/>
        </w:rPr>
      </w:pPr>
      <w:r>
        <w:rPr>
          <w:sz w:val="20"/>
          <w:szCs w:val="20"/>
          <w:vertAlign w:val="superscript"/>
        </w:rPr>
        <w:t>2</w:t>
      </w:r>
      <w:r>
        <w:rPr>
          <w:sz w:val="20"/>
          <w:szCs w:val="20"/>
        </w:rPr>
        <w:t>For purposes of this requirement, when calculating emissions of VOCs, emissions of formaldehyde should not be included.</w:t>
      </w:r>
    </w:p>
    <w:p w:rsidR="00564065" w:rsidRDefault="00564065" w:rsidP="00564065">
      <w:pPr>
        <w:numPr>
          <w:ilvl w:val="1"/>
          <w:numId w:val="2"/>
        </w:numPr>
        <w:ind w:left="720" w:hanging="720"/>
      </w:pPr>
      <w:r>
        <w:lastRenderedPageBreak/>
        <w:t>b.</w:t>
      </w:r>
      <w:r>
        <w:tab/>
      </w:r>
      <w:r w:rsidRPr="006243B7">
        <w:t xml:space="preserve">Visible emissions shall </w:t>
      </w:r>
      <w:r>
        <w:t xml:space="preserve">not be emitted into the outdoor atmosphere from the </w:t>
      </w:r>
      <w:r w:rsidR="00704174">
        <w:t>generators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Pr="006243B7" w:rsidRDefault="00564065" w:rsidP="00564065">
      <w:pPr>
        <w:autoSpaceDE w:val="0"/>
        <w:autoSpaceDN w:val="0"/>
        <w:adjustRightInd w:val="0"/>
        <w:ind w:left="720" w:hanging="360"/>
      </w:pPr>
    </w:p>
    <w:p w:rsidR="00564065" w:rsidRDefault="00F80D46" w:rsidP="00564065">
      <w:pPr>
        <w:ind w:left="720" w:hanging="360"/>
      </w:pPr>
      <w:r>
        <w:t>c</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Default="00564065" w:rsidP="00564065"/>
    <w:p w:rsidR="00F80D46" w:rsidRDefault="00F80D46" w:rsidP="00F80D46">
      <w:pPr>
        <w:numPr>
          <w:ilvl w:val="1"/>
          <w:numId w:val="2"/>
        </w:numPr>
        <w:ind w:left="720" w:hanging="720"/>
      </w:pPr>
      <w:r>
        <w:t>a.</w:t>
      </w:r>
      <w:r>
        <w:tab/>
        <w:t xml:space="preserve">The </w:t>
      </w:r>
      <w:r w:rsidRPr="006243B7">
        <w:t>generator</w:t>
      </w:r>
      <w:r>
        <w:t>s</w:t>
      </w:r>
      <w:r w:rsidRPr="006243B7">
        <w:t xml:space="preserve"> shall </w:t>
      </w:r>
      <w:r w:rsidR="00F47A1F">
        <w:t>fire only natural gas</w:t>
      </w:r>
      <w:r w:rsidR="002A72A0">
        <w:t xml:space="preserve"> per the submitted plan and specifications</w:t>
      </w:r>
      <w:r w:rsidRPr="006243B7">
        <w:t>.</w:t>
      </w:r>
      <w:r w:rsidR="00F47A1F">
        <w:t xml:space="preserve"> [20 DCMR 200.6</w:t>
      </w:r>
      <w:r w:rsidR="002A72A0">
        <w:t xml:space="preserve"> and 20 DCMR 201</w:t>
      </w:r>
      <w:r w:rsidR="00F47A1F">
        <w:t>]</w:t>
      </w:r>
    </w:p>
    <w:p w:rsidR="00F80D46" w:rsidRDefault="00F80D46" w:rsidP="00F80D46">
      <w:pPr>
        <w:ind w:left="720" w:hanging="360"/>
      </w:pPr>
    </w:p>
    <w:p w:rsidR="00F80D46" w:rsidRDefault="00F80D46" w:rsidP="00F80D46">
      <w:pPr>
        <w:ind w:left="720" w:hanging="360"/>
      </w:pPr>
      <w:r w:rsidRPr="006243B7">
        <w:t>b.</w:t>
      </w:r>
      <w:r w:rsidRPr="006243B7">
        <w:tab/>
      </w:r>
      <w:r w:rsidR="00F47A1F">
        <w:t>The generators shall be operated in accordance with the recommendations of the equipment manufacturer.</w:t>
      </w:r>
      <w:r>
        <w:t xml:space="preserve"> [20 DCMR 201]</w:t>
      </w:r>
    </w:p>
    <w:p w:rsidR="00F80D46" w:rsidRDefault="00F80D46" w:rsidP="00F80D46">
      <w:pPr>
        <w:ind w:left="720" w:hanging="360"/>
      </w:pPr>
    </w:p>
    <w:p w:rsidR="00F80D46" w:rsidRDefault="00F80D46" w:rsidP="00F80D46">
      <w:pPr>
        <w:ind w:left="720" w:hanging="360"/>
      </w:pPr>
      <w:r w:rsidRPr="006243B7">
        <w:t>c.</w:t>
      </w:r>
      <w:r w:rsidRPr="006243B7">
        <w:tab/>
      </w:r>
      <w:r w:rsidR="002A72A0">
        <w:t>A maintenance plan shall be maintained at the facility and followed</w:t>
      </w:r>
      <w:r>
        <w:t>. [40 CFR 60.4243(</w:t>
      </w:r>
      <w:r w:rsidR="002A72A0">
        <w:t>b</w:t>
      </w:r>
      <w:proofErr w:type="gramStart"/>
      <w:r w:rsidR="002A72A0">
        <w:t>)(</w:t>
      </w:r>
      <w:proofErr w:type="gramEnd"/>
      <w:r w:rsidR="002A72A0">
        <w:t>2)(i</w:t>
      </w:r>
      <w:r>
        <w:t>)]</w:t>
      </w:r>
      <w:r w:rsidR="002A72A0">
        <w:t xml:space="preserve"> At a minimum the maintenance plan shall include all maintenance requirements recommended by the equipment manufacturer.</w:t>
      </w:r>
    </w:p>
    <w:p w:rsidR="00F80D46" w:rsidRDefault="00F80D46" w:rsidP="00F80D46">
      <w:pPr>
        <w:ind w:left="1080" w:hanging="360"/>
      </w:pPr>
    </w:p>
    <w:p w:rsidR="00F80D46" w:rsidRDefault="00F80D46" w:rsidP="00F80D46">
      <w:pPr>
        <w:ind w:left="720" w:hanging="360"/>
      </w:pPr>
      <w:r w:rsidRPr="006243B7">
        <w:t>d.</w:t>
      </w:r>
      <w:r w:rsidRPr="006243B7">
        <w:tab/>
      </w:r>
      <w:r w:rsidR="002A72A0" w:rsidRPr="006243B7">
        <w:t xml:space="preserve">At all times, including periods of startup, shutdown, and malfunction, the </w:t>
      </w:r>
      <w:r w:rsidR="002A72A0">
        <w:t>Permittee</w:t>
      </w:r>
      <w:r w:rsidR="002A72A0" w:rsidRPr="006243B7">
        <w:t xml:space="preserve"> shall, to the extent practicable, maintain and operate the unit</w:t>
      </w:r>
      <w:r w:rsidR="002A72A0">
        <w:t>s</w:t>
      </w:r>
      <w:r w:rsidR="002A72A0" w:rsidRPr="006243B7">
        <w:t xml:space="preserve"> in a manner consistent with good air pollution control practice for minimizing emissions</w:t>
      </w:r>
      <w:r w:rsidR="002A72A0">
        <w:t xml:space="preserve"> [40 CFR 60.4243(b)(2)(i)]</w:t>
      </w:r>
      <w:r w:rsidR="002A72A0" w:rsidRPr="006243B7">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F80D46" w:rsidRDefault="00F80D46" w:rsidP="00564065"/>
    <w:p w:rsidR="00E5287B" w:rsidRDefault="00E5287B" w:rsidP="00564065">
      <w:pPr>
        <w:ind w:left="360" w:hanging="360"/>
      </w:pPr>
    </w:p>
    <w:p w:rsidR="00E5287B" w:rsidRDefault="00E5287B" w:rsidP="00564065">
      <w:pPr>
        <w:ind w:left="360" w:hanging="360"/>
      </w:pPr>
    </w:p>
    <w:p w:rsidR="00E5287B" w:rsidRDefault="00E5287B" w:rsidP="00564065">
      <w:pPr>
        <w:ind w:left="360" w:hanging="360"/>
      </w:pPr>
    </w:p>
    <w:p w:rsidR="00564065" w:rsidRPr="006243B7" w:rsidRDefault="00564065" w:rsidP="00564065">
      <w:pPr>
        <w:ind w:left="360" w:hanging="360"/>
      </w:pPr>
      <w:r w:rsidRPr="006243B7">
        <w:lastRenderedPageBreak/>
        <w:t>IV.</w:t>
      </w:r>
      <w:r w:rsidRPr="006243B7">
        <w:tab/>
      </w:r>
      <w:r w:rsidRPr="006243B7">
        <w:rPr>
          <w:u w:val="single"/>
        </w:rPr>
        <w:t>Monitoring and Testing Requirements:</w:t>
      </w:r>
    </w:p>
    <w:p w:rsidR="00897D38" w:rsidRDefault="00897D38" w:rsidP="00897D38">
      <w:pPr>
        <w:ind w:left="720" w:hanging="360"/>
        <w:contextualSpacing/>
      </w:pPr>
    </w:p>
    <w:p w:rsidR="005371E7" w:rsidRDefault="005371E7" w:rsidP="00897D38">
      <w:pPr>
        <w:ind w:left="720" w:hanging="360"/>
        <w:contextualSpacing/>
      </w:pPr>
      <w:r>
        <w:t>a.</w:t>
      </w:r>
      <w:r>
        <w:tab/>
        <w:t xml:space="preserve">Within 60 days after issuance of this permit to operate, the Permittee shall demonstrate compliance with Condition II(a) of this permit by performing an initial performance test on each unit according to the following requirements [40 CFR 60.8 and 60.4243(b)(2)(i) and the requirements of Condition VI: </w:t>
      </w:r>
    </w:p>
    <w:p w:rsidR="005371E7" w:rsidRDefault="005371E7" w:rsidP="00897D38">
      <w:pPr>
        <w:ind w:left="720" w:hanging="360"/>
        <w:contextualSpacing/>
      </w:pPr>
    </w:p>
    <w:p w:rsidR="005371E7" w:rsidRDefault="005371E7" w:rsidP="005371E7">
      <w:pPr>
        <w:ind w:left="720"/>
        <w:contextualSpacing/>
        <w:rPr>
          <w:i/>
        </w:rPr>
      </w:pPr>
      <w:r>
        <w:rPr>
          <w:i/>
        </w:rPr>
        <w:t>Note that this deadline is a deadline to return to compliance. Establishing this deadline does not absolve the Permittee of having previously failed to meet the regulatory deadline for such testing.</w:t>
      </w:r>
    </w:p>
    <w:p w:rsidR="005371E7" w:rsidRDefault="005371E7" w:rsidP="005371E7">
      <w:pPr>
        <w:ind w:left="720" w:hanging="360"/>
        <w:contextualSpacing/>
        <w:rPr>
          <w:i/>
        </w:rPr>
      </w:pPr>
    </w:p>
    <w:p w:rsidR="005371E7" w:rsidRPr="005371E7" w:rsidRDefault="005371E7" w:rsidP="005371E7">
      <w:pPr>
        <w:pStyle w:val="BodyTextIndent2"/>
        <w:spacing w:after="0" w:line="240" w:lineRule="auto"/>
        <w:ind w:left="1080" w:hanging="360"/>
        <w:rPr>
          <w:szCs w:val="20"/>
        </w:rPr>
      </w:pPr>
      <w:r w:rsidRPr="005371E7">
        <w:rPr>
          <w:szCs w:val="20"/>
        </w:rPr>
        <w:t>1.</w:t>
      </w:r>
      <w:r w:rsidRPr="005371E7">
        <w:rPr>
          <w:szCs w:val="20"/>
        </w:rPr>
        <w:tab/>
        <w:t>The performance test must be conducted within 10 percent of 100 percent peak (or the highest achievable) load and according to the requirements of 40 CFR 60.8 and under the conditions and methods specified in Table 2 of 40 CFR 60, Subpart JJJJ [40 CFR 60.4244(a) and Table 2 of 40 CFR 60 Subpart JJJJ].</w:t>
      </w:r>
    </w:p>
    <w:p w:rsidR="005371E7" w:rsidRPr="005371E7" w:rsidRDefault="005371E7" w:rsidP="005371E7">
      <w:pPr>
        <w:ind w:left="1080" w:hanging="360"/>
        <w:rPr>
          <w:szCs w:val="20"/>
        </w:rPr>
      </w:pPr>
    </w:p>
    <w:p w:rsidR="005371E7" w:rsidRPr="005371E7" w:rsidRDefault="005371E7" w:rsidP="005371E7">
      <w:pPr>
        <w:ind w:left="1080" w:hanging="360"/>
        <w:rPr>
          <w:szCs w:val="20"/>
        </w:rPr>
      </w:pPr>
      <w:r w:rsidRPr="005371E7">
        <w:rPr>
          <w:szCs w:val="20"/>
        </w:rPr>
        <w:t>2.</w:t>
      </w:r>
      <w:r w:rsidRPr="005371E7">
        <w:rPr>
          <w:szCs w:val="20"/>
        </w:rPr>
        <w:tab/>
        <w:t>The performance test shall not be conducted during periods of startup, shutdown, or malfunction as specified in 40 CFR 60.8(c). If the generator to be tested is non-operational, it is not necessary to start up the engine solely to conduct the performance test; however, the performance test must be conducted immediately upon startup of the engine.</w:t>
      </w:r>
    </w:p>
    <w:p w:rsidR="005371E7" w:rsidRPr="005371E7" w:rsidRDefault="005371E7" w:rsidP="005371E7">
      <w:pPr>
        <w:ind w:left="1080" w:hanging="360"/>
        <w:rPr>
          <w:szCs w:val="20"/>
        </w:rPr>
      </w:pPr>
    </w:p>
    <w:p w:rsidR="005371E7" w:rsidRPr="005371E7" w:rsidRDefault="005371E7" w:rsidP="005371E7">
      <w:pPr>
        <w:ind w:left="1080" w:hanging="360"/>
        <w:rPr>
          <w:szCs w:val="20"/>
        </w:rPr>
      </w:pPr>
      <w:r w:rsidRPr="005371E7">
        <w:rPr>
          <w:szCs w:val="20"/>
        </w:rPr>
        <w:t>3.</w:t>
      </w:r>
      <w:r w:rsidRPr="005371E7">
        <w:rPr>
          <w:szCs w:val="20"/>
        </w:rPr>
        <w:tab/>
        <w:t xml:space="preserve">Three separate test runs shall be performed for each performance test required in this section as specified in 40 CFR 60.8(f). Each test run must be conducted within 10 percent </w:t>
      </w:r>
      <w:r>
        <w:rPr>
          <w:szCs w:val="20"/>
        </w:rPr>
        <w:t>o</w:t>
      </w:r>
      <w:r w:rsidRPr="005371E7">
        <w:rPr>
          <w:szCs w:val="20"/>
        </w:rPr>
        <w:t>f 100 percent peak (or the highest achievable) load and last at least one hour.</w:t>
      </w:r>
    </w:p>
    <w:p w:rsidR="005371E7" w:rsidRPr="005371E7" w:rsidRDefault="005371E7" w:rsidP="005371E7">
      <w:pPr>
        <w:ind w:left="1080" w:hanging="360"/>
        <w:rPr>
          <w:szCs w:val="20"/>
        </w:rPr>
      </w:pPr>
    </w:p>
    <w:p w:rsidR="005371E7" w:rsidRPr="005371E7" w:rsidRDefault="005371E7" w:rsidP="005371E7">
      <w:pPr>
        <w:ind w:left="1080" w:hanging="360"/>
        <w:rPr>
          <w:szCs w:val="20"/>
        </w:rPr>
      </w:pPr>
      <w:r w:rsidRPr="005371E7">
        <w:rPr>
          <w:szCs w:val="20"/>
        </w:rPr>
        <w:t>4.</w:t>
      </w:r>
      <w:r w:rsidRPr="005371E7">
        <w:rPr>
          <w:szCs w:val="20"/>
        </w:rPr>
        <w:tab/>
        <w:t>To determine compliance with the NO</w:t>
      </w:r>
      <w:r w:rsidRPr="005371E7">
        <w:rPr>
          <w:szCs w:val="20"/>
          <w:vertAlign w:val="subscript"/>
        </w:rPr>
        <w:t>x</w:t>
      </w:r>
      <w:r w:rsidRPr="005371E7">
        <w:rPr>
          <w:szCs w:val="20"/>
        </w:rPr>
        <w:t xml:space="preserve"> mass per unit output emission limitation, convert the concentration of NO</w:t>
      </w:r>
      <w:r w:rsidRPr="005371E7">
        <w:rPr>
          <w:szCs w:val="20"/>
          <w:vertAlign w:val="subscript"/>
        </w:rPr>
        <w:t>x</w:t>
      </w:r>
      <w:r w:rsidRPr="005371E7">
        <w:rPr>
          <w:szCs w:val="20"/>
        </w:rPr>
        <w:t xml:space="preserve"> in the engine exhaust using the following equation:</w:t>
      </w:r>
    </w:p>
    <w:p w:rsidR="005371E7" w:rsidRPr="005371E7" w:rsidRDefault="005371E7" w:rsidP="005371E7">
      <w:pPr>
        <w:ind w:left="1080" w:hanging="360"/>
        <w:rPr>
          <w:szCs w:val="20"/>
        </w:rPr>
      </w:pPr>
    </w:p>
    <w:p w:rsidR="005371E7" w:rsidRPr="005371E7" w:rsidRDefault="005371E7" w:rsidP="005371E7">
      <w:pPr>
        <w:ind w:left="1080"/>
        <w:rPr>
          <w:szCs w:val="20"/>
        </w:rPr>
      </w:pPr>
      <w:r w:rsidRPr="005371E7">
        <w:rPr>
          <w:position w:val="-24"/>
          <w:szCs w:val="20"/>
        </w:rPr>
        <w:object w:dxaOrig="2688"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4.4pt;height:33pt" o:ole="" fillcolor="window">
            <v:imagedata r:id="rId8" o:title=""/>
          </v:shape>
          <o:OLEObject Type="Embed" ProgID="Equation.3" ShapeID="_x0000_i1043" DrawAspect="Content" ObjectID="_1625556812" r:id="rId9"/>
        </w:object>
      </w:r>
    </w:p>
    <w:p w:rsidR="005371E7" w:rsidRPr="005371E7" w:rsidRDefault="005371E7" w:rsidP="005371E7">
      <w:pPr>
        <w:ind w:left="1080" w:hanging="360"/>
        <w:rPr>
          <w:szCs w:val="20"/>
        </w:rPr>
      </w:pPr>
    </w:p>
    <w:p w:rsidR="005371E7" w:rsidRPr="005371E7" w:rsidRDefault="005371E7" w:rsidP="005371E7">
      <w:pPr>
        <w:ind w:left="1080"/>
        <w:rPr>
          <w:szCs w:val="20"/>
        </w:rPr>
      </w:pPr>
      <w:r w:rsidRPr="005371E7">
        <w:rPr>
          <w:szCs w:val="20"/>
        </w:rPr>
        <w:t>Where:</w:t>
      </w:r>
    </w:p>
    <w:p w:rsidR="005371E7" w:rsidRPr="005371E7" w:rsidRDefault="005371E7" w:rsidP="005371E7">
      <w:pPr>
        <w:ind w:left="1440" w:hanging="360"/>
        <w:rPr>
          <w:szCs w:val="20"/>
        </w:rPr>
      </w:pPr>
      <w:r w:rsidRPr="005371E7">
        <w:rPr>
          <w:szCs w:val="20"/>
        </w:rPr>
        <w:t>ER = Emission rate of NO</w:t>
      </w:r>
      <w:r w:rsidRPr="005371E7">
        <w:rPr>
          <w:szCs w:val="20"/>
          <w:vertAlign w:val="subscript"/>
        </w:rPr>
        <w:t>x</w:t>
      </w:r>
      <w:r w:rsidRPr="005371E7">
        <w:rPr>
          <w:szCs w:val="20"/>
        </w:rPr>
        <w:t xml:space="preserve"> in g/HP-hr.</w:t>
      </w:r>
    </w:p>
    <w:p w:rsidR="005371E7" w:rsidRPr="005371E7" w:rsidRDefault="005371E7" w:rsidP="005371E7">
      <w:pPr>
        <w:ind w:left="1440" w:hanging="360"/>
        <w:rPr>
          <w:szCs w:val="20"/>
        </w:rPr>
      </w:pPr>
      <w:r w:rsidRPr="005371E7">
        <w:rPr>
          <w:szCs w:val="20"/>
        </w:rPr>
        <w:t>C</w:t>
      </w:r>
      <w:r w:rsidRPr="005371E7">
        <w:rPr>
          <w:szCs w:val="20"/>
          <w:vertAlign w:val="subscript"/>
        </w:rPr>
        <w:t>d</w:t>
      </w:r>
      <w:r w:rsidRPr="005371E7">
        <w:rPr>
          <w:szCs w:val="20"/>
        </w:rPr>
        <w:t xml:space="preserve"> = Measured NO</w:t>
      </w:r>
      <w:r w:rsidRPr="005371E7">
        <w:rPr>
          <w:szCs w:val="20"/>
          <w:vertAlign w:val="subscript"/>
        </w:rPr>
        <w:t>x</w:t>
      </w:r>
      <w:r w:rsidRPr="005371E7">
        <w:rPr>
          <w:szCs w:val="20"/>
        </w:rPr>
        <w:t xml:space="preserve"> concentration in parts per million by volume (</w:t>
      </w:r>
      <w:proofErr w:type="spellStart"/>
      <w:r w:rsidRPr="005371E7">
        <w:rPr>
          <w:szCs w:val="20"/>
        </w:rPr>
        <w:t>ppmv</w:t>
      </w:r>
      <w:proofErr w:type="spellEnd"/>
      <w:r w:rsidRPr="005371E7">
        <w:rPr>
          <w:szCs w:val="20"/>
        </w:rPr>
        <w:t>).</w:t>
      </w:r>
    </w:p>
    <w:p w:rsidR="005371E7" w:rsidRPr="005371E7" w:rsidRDefault="005371E7" w:rsidP="005371E7">
      <w:pPr>
        <w:ind w:left="1440" w:hanging="360"/>
        <w:rPr>
          <w:szCs w:val="20"/>
        </w:rPr>
      </w:pPr>
      <w:r w:rsidRPr="005371E7">
        <w:rPr>
          <w:szCs w:val="20"/>
        </w:rPr>
        <w:t>1.912x10</w:t>
      </w:r>
      <w:r w:rsidRPr="005371E7">
        <w:rPr>
          <w:szCs w:val="20"/>
          <w:vertAlign w:val="superscript"/>
        </w:rPr>
        <w:t>-3</w:t>
      </w:r>
      <w:r w:rsidRPr="005371E7">
        <w:rPr>
          <w:szCs w:val="20"/>
        </w:rPr>
        <w:t xml:space="preserve"> = Conversion constant for ppm NO</w:t>
      </w:r>
      <w:r w:rsidRPr="005371E7">
        <w:rPr>
          <w:szCs w:val="20"/>
          <w:vertAlign w:val="subscript"/>
        </w:rPr>
        <w:t>x</w:t>
      </w:r>
      <w:r w:rsidRPr="005371E7">
        <w:rPr>
          <w:szCs w:val="20"/>
        </w:rPr>
        <w:t xml:space="preserve"> to grams per standard cubic meter at 20 degrees Celsius.</w:t>
      </w:r>
    </w:p>
    <w:p w:rsidR="005371E7" w:rsidRPr="005371E7" w:rsidRDefault="005371E7" w:rsidP="005371E7">
      <w:pPr>
        <w:ind w:left="1440" w:hanging="360"/>
        <w:rPr>
          <w:szCs w:val="20"/>
        </w:rPr>
      </w:pPr>
      <w:r w:rsidRPr="005371E7">
        <w:rPr>
          <w:szCs w:val="20"/>
        </w:rPr>
        <w:t>Q = Stack gas volumetric flow rate, in standard cubic meter per hour, dry basis.</w:t>
      </w:r>
    </w:p>
    <w:p w:rsidR="005371E7" w:rsidRPr="005371E7" w:rsidRDefault="005371E7" w:rsidP="005371E7">
      <w:pPr>
        <w:ind w:left="1440" w:hanging="360"/>
        <w:rPr>
          <w:szCs w:val="20"/>
        </w:rPr>
      </w:pPr>
      <w:r w:rsidRPr="005371E7">
        <w:rPr>
          <w:szCs w:val="20"/>
        </w:rPr>
        <w:t>T = Time of test run, in hours.</w:t>
      </w:r>
    </w:p>
    <w:p w:rsidR="005371E7" w:rsidRPr="005371E7" w:rsidRDefault="005371E7" w:rsidP="005371E7">
      <w:pPr>
        <w:ind w:left="1440" w:hanging="360"/>
        <w:rPr>
          <w:szCs w:val="20"/>
        </w:rPr>
      </w:pPr>
      <w:r w:rsidRPr="005371E7">
        <w:rPr>
          <w:szCs w:val="20"/>
        </w:rPr>
        <w:t>HP-</w:t>
      </w:r>
      <w:proofErr w:type="spellStart"/>
      <w:r w:rsidRPr="005371E7">
        <w:rPr>
          <w:szCs w:val="20"/>
        </w:rPr>
        <w:t>hr</w:t>
      </w:r>
      <w:proofErr w:type="spellEnd"/>
      <w:r w:rsidRPr="005371E7">
        <w:rPr>
          <w:szCs w:val="20"/>
        </w:rPr>
        <w:t xml:space="preserve"> = Brake work of the engine, horsepower-hour (HP-</w:t>
      </w:r>
      <w:proofErr w:type="spellStart"/>
      <w:r w:rsidRPr="005371E7">
        <w:rPr>
          <w:szCs w:val="20"/>
        </w:rPr>
        <w:t>hr</w:t>
      </w:r>
      <w:proofErr w:type="spellEnd"/>
      <w:r w:rsidRPr="005371E7">
        <w:rPr>
          <w:szCs w:val="20"/>
        </w:rPr>
        <w:t>).</w:t>
      </w:r>
    </w:p>
    <w:p w:rsidR="005371E7" w:rsidRPr="005371E7" w:rsidRDefault="005371E7" w:rsidP="005371E7">
      <w:pPr>
        <w:ind w:left="1080"/>
        <w:rPr>
          <w:szCs w:val="20"/>
        </w:rPr>
      </w:pPr>
    </w:p>
    <w:p w:rsidR="005371E7" w:rsidRPr="005371E7" w:rsidRDefault="005371E7" w:rsidP="005371E7">
      <w:pPr>
        <w:ind w:left="1080" w:hanging="360"/>
        <w:rPr>
          <w:szCs w:val="20"/>
        </w:rPr>
      </w:pPr>
      <w:r w:rsidRPr="005371E7">
        <w:rPr>
          <w:szCs w:val="20"/>
        </w:rPr>
        <w:t>5.</w:t>
      </w:r>
      <w:r w:rsidRPr="005371E7">
        <w:rPr>
          <w:szCs w:val="20"/>
        </w:rPr>
        <w:tab/>
        <w:t>To determine compliance with the CO mass per unit output emission limi</w:t>
      </w:r>
      <w:r>
        <w:rPr>
          <w:szCs w:val="20"/>
        </w:rPr>
        <w:t>tation, convert the concentratio</w:t>
      </w:r>
      <w:r w:rsidRPr="005371E7">
        <w:rPr>
          <w:szCs w:val="20"/>
        </w:rPr>
        <w:t>n of CO in the engine exhaust using the following equation:</w:t>
      </w:r>
    </w:p>
    <w:p w:rsidR="005371E7" w:rsidRPr="005371E7" w:rsidRDefault="005371E7" w:rsidP="005371E7">
      <w:pPr>
        <w:ind w:left="1080" w:hanging="360"/>
        <w:rPr>
          <w:szCs w:val="20"/>
        </w:rPr>
      </w:pPr>
    </w:p>
    <w:p w:rsidR="005371E7" w:rsidRPr="005371E7" w:rsidRDefault="005371E7" w:rsidP="005371E7">
      <w:pPr>
        <w:ind w:left="1080"/>
        <w:rPr>
          <w:szCs w:val="20"/>
        </w:rPr>
      </w:pPr>
      <w:r w:rsidRPr="005371E7">
        <w:rPr>
          <w:position w:val="-24"/>
          <w:szCs w:val="20"/>
        </w:rPr>
        <w:object w:dxaOrig="2676" w:dyaOrig="660">
          <v:shape id="_x0000_i1044" type="#_x0000_t75" style="width:133.8pt;height:33pt" o:ole="" fillcolor="window">
            <v:imagedata r:id="rId10" o:title=""/>
          </v:shape>
          <o:OLEObject Type="Embed" ProgID="Equation.3" ShapeID="_x0000_i1044" DrawAspect="Content" ObjectID="_1625556813" r:id="rId11"/>
        </w:object>
      </w:r>
    </w:p>
    <w:p w:rsidR="005371E7" w:rsidRPr="005371E7" w:rsidRDefault="005371E7" w:rsidP="005371E7">
      <w:pPr>
        <w:ind w:left="1080" w:hanging="360"/>
        <w:rPr>
          <w:szCs w:val="20"/>
        </w:rPr>
      </w:pPr>
    </w:p>
    <w:p w:rsidR="005371E7" w:rsidRPr="005371E7" w:rsidRDefault="005371E7" w:rsidP="005371E7">
      <w:pPr>
        <w:ind w:left="1440" w:hanging="360"/>
        <w:rPr>
          <w:szCs w:val="20"/>
        </w:rPr>
      </w:pPr>
      <w:r w:rsidRPr="005371E7">
        <w:rPr>
          <w:szCs w:val="20"/>
        </w:rPr>
        <w:t>Where:</w:t>
      </w:r>
    </w:p>
    <w:p w:rsidR="005371E7" w:rsidRPr="005371E7" w:rsidRDefault="005371E7" w:rsidP="005371E7">
      <w:pPr>
        <w:ind w:left="1440" w:hanging="360"/>
        <w:rPr>
          <w:szCs w:val="20"/>
        </w:rPr>
      </w:pPr>
      <w:r w:rsidRPr="005371E7">
        <w:rPr>
          <w:szCs w:val="20"/>
        </w:rPr>
        <w:t>ER = Emission rate of CO in g/HP-hr.</w:t>
      </w:r>
    </w:p>
    <w:p w:rsidR="005371E7" w:rsidRPr="005371E7" w:rsidRDefault="005371E7" w:rsidP="005371E7">
      <w:pPr>
        <w:ind w:left="1440" w:hanging="360"/>
        <w:rPr>
          <w:szCs w:val="20"/>
        </w:rPr>
      </w:pPr>
      <w:r w:rsidRPr="005371E7">
        <w:rPr>
          <w:szCs w:val="20"/>
        </w:rPr>
        <w:t>C</w:t>
      </w:r>
      <w:r w:rsidRPr="005371E7">
        <w:rPr>
          <w:szCs w:val="20"/>
          <w:vertAlign w:val="subscript"/>
        </w:rPr>
        <w:t>d</w:t>
      </w:r>
      <w:r w:rsidRPr="005371E7">
        <w:rPr>
          <w:szCs w:val="20"/>
        </w:rPr>
        <w:t xml:space="preserve"> = Measured CO concentration in </w:t>
      </w:r>
      <w:proofErr w:type="spellStart"/>
      <w:r w:rsidRPr="005371E7">
        <w:rPr>
          <w:szCs w:val="20"/>
        </w:rPr>
        <w:t>ppmv</w:t>
      </w:r>
      <w:proofErr w:type="spellEnd"/>
      <w:r w:rsidRPr="005371E7">
        <w:rPr>
          <w:szCs w:val="20"/>
        </w:rPr>
        <w:t>.</w:t>
      </w:r>
    </w:p>
    <w:p w:rsidR="005371E7" w:rsidRPr="005371E7" w:rsidRDefault="005371E7" w:rsidP="005371E7">
      <w:pPr>
        <w:ind w:left="1440" w:hanging="360"/>
        <w:rPr>
          <w:szCs w:val="20"/>
        </w:rPr>
      </w:pPr>
      <w:r w:rsidRPr="005371E7">
        <w:rPr>
          <w:szCs w:val="20"/>
        </w:rPr>
        <w:t>1.164x10</w:t>
      </w:r>
      <w:r w:rsidRPr="005371E7">
        <w:rPr>
          <w:szCs w:val="20"/>
          <w:vertAlign w:val="superscript"/>
        </w:rPr>
        <w:t>-3</w:t>
      </w:r>
      <w:r w:rsidRPr="005371E7">
        <w:rPr>
          <w:szCs w:val="20"/>
        </w:rPr>
        <w:t xml:space="preserve"> = Conversion constant for ppm CO to grams per standard cubic meter at 20 degrees Celsius.</w:t>
      </w:r>
    </w:p>
    <w:p w:rsidR="005371E7" w:rsidRPr="005371E7" w:rsidRDefault="005371E7" w:rsidP="005371E7">
      <w:pPr>
        <w:ind w:left="1080"/>
        <w:rPr>
          <w:szCs w:val="20"/>
        </w:rPr>
      </w:pPr>
      <w:r w:rsidRPr="005371E7">
        <w:rPr>
          <w:szCs w:val="20"/>
        </w:rPr>
        <w:t>Q = Stack gas volumetric flow rate, in standard cubic meters per hour, dry basis.</w:t>
      </w:r>
    </w:p>
    <w:p w:rsidR="005371E7" w:rsidRPr="005371E7" w:rsidRDefault="005371E7" w:rsidP="005371E7">
      <w:pPr>
        <w:ind w:left="1080"/>
        <w:rPr>
          <w:szCs w:val="20"/>
        </w:rPr>
      </w:pPr>
      <w:r w:rsidRPr="005371E7">
        <w:rPr>
          <w:szCs w:val="20"/>
        </w:rPr>
        <w:t>T = Time of test run, in hours.</w:t>
      </w:r>
    </w:p>
    <w:p w:rsidR="005371E7" w:rsidRPr="005371E7" w:rsidRDefault="005371E7" w:rsidP="005371E7">
      <w:pPr>
        <w:ind w:left="1080"/>
        <w:rPr>
          <w:szCs w:val="20"/>
        </w:rPr>
      </w:pPr>
      <w:r w:rsidRPr="005371E7">
        <w:rPr>
          <w:szCs w:val="20"/>
        </w:rPr>
        <w:t>HP-</w:t>
      </w:r>
      <w:proofErr w:type="spellStart"/>
      <w:r w:rsidRPr="005371E7">
        <w:rPr>
          <w:szCs w:val="20"/>
        </w:rPr>
        <w:t>hr</w:t>
      </w:r>
      <w:proofErr w:type="spellEnd"/>
      <w:r w:rsidRPr="005371E7">
        <w:rPr>
          <w:szCs w:val="20"/>
        </w:rPr>
        <w:t xml:space="preserve"> = Brake work of the engine in HP-hr.</w:t>
      </w:r>
    </w:p>
    <w:p w:rsidR="005371E7" w:rsidRPr="005371E7" w:rsidRDefault="005371E7" w:rsidP="005371E7">
      <w:pPr>
        <w:ind w:left="1080"/>
        <w:rPr>
          <w:szCs w:val="20"/>
        </w:rPr>
      </w:pPr>
    </w:p>
    <w:p w:rsidR="005371E7" w:rsidRPr="005371E7" w:rsidRDefault="005371E7" w:rsidP="005371E7">
      <w:pPr>
        <w:ind w:left="1080" w:hanging="360"/>
        <w:rPr>
          <w:szCs w:val="20"/>
        </w:rPr>
      </w:pPr>
      <w:r>
        <w:rPr>
          <w:szCs w:val="20"/>
        </w:rPr>
        <w:t>6.</w:t>
      </w:r>
      <w:r>
        <w:rPr>
          <w:szCs w:val="20"/>
        </w:rPr>
        <w:tab/>
      </w:r>
      <w:proofErr w:type="gramStart"/>
      <w:r>
        <w:rPr>
          <w:szCs w:val="20"/>
        </w:rPr>
        <w:t>For</w:t>
      </w:r>
      <w:proofErr w:type="gramEnd"/>
      <w:r>
        <w:rPr>
          <w:szCs w:val="20"/>
        </w:rPr>
        <w:t xml:space="preserve"> purposes of this set of</w:t>
      </w:r>
      <w:r w:rsidRPr="005371E7">
        <w:rPr>
          <w:szCs w:val="20"/>
        </w:rPr>
        <w:t xml:space="preserve"> permit</w:t>
      </w:r>
      <w:r>
        <w:rPr>
          <w:szCs w:val="20"/>
        </w:rPr>
        <w:t>s</w:t>
      </w:r>
      <w:r w:rsidRPr="005371E7">
        <w:rPr>
          <w:szCs w:val="20"/>
        </w:rPr>
        <w:t xml:space="preserve"> and 40 CFR 60, Subpart JJJJ, when calculating emissions of VOC, emissions of formaldehyde should not be included. To determine compliance with the VOC mass per unit output emission limitation, convert the concentration of VOC in the engine exhaust using the following equation:</w:t>
      </w:r>
    </w:p>
    <w:p w:rsidR="005371E7" w:rsidRPr="005371E7" w:rsidRDefault="005371E7" w:rsidP="005371E7">
      <w:pPr>
        <w:ind w:left="1080" w:hanging="360"/>
        <w:rPr>
          <w:szCs w:val="20"/>
        </w:rPr>
      </w:pPr>
    </w:p>
    <w:p w:rsidR="005371E7" w:rsidRPr="005371E7" w:rsidRDefault="005371E7" w:rsidP="005371E7">
      <w:pPr>
        <w:ind w:left="1080"/>
        <w:rPr>
          <w:szCs w:val="20"/>
        </w:rPr>
      </w:pPr>
      <w:r w:rsidRPr="005371E7">
        <w:rPr>
          <w:position w:val="-24"/>
          <w:szCs w:val="20"/>
        </w:rPr>
        <w:object w:dxaOrig="2676" w:dyaOrig="660">
          <v:shape id="_x0000_i1045" type="#_x0000_t75" style="width:133.8pt;height:33pt" o:ole="" fillcolor="window">
            <v:imagedata r:id="rId12" o:title=""/>
          </v:shape>
          <o:OLEObject Type="Embed" ProgID="Equation.3" ShapeID="_x0000_i1045" DrawAspect="Content" ObjectID="_1625556814" r:id="rId13"/>
        </w:object>
      </w:r>
    </w:p>
    <w:p w:rsidR="005371E7" w:rsidRPr="005371E7" w:rsidRDefault="005371E7" w:rsidP="005371E7">
      <w:pPr>
        <w:ind w:left="1080"/>
        <w:rPr>
          <w:szCs w:val="20"/>
        </w:rPr>
      </w:pPr>
    </w:p>
    <w:p w:rsidR="005371E7" w:rsidRPr="005371E7" w:rsidRDefault="005371E7" w:rsidP="005371E7">
      <w:pPr>
        <w:ind w:left="1080"/>
        <w:rPr>
          <w:szCs w:val="20"/>
        </w:rPr>
      </w:pPr>
      <w:r w:rsidRPr="005371E7">
        <w:rPr>
          <w:szCs w:val="20"/>
        </w:rPr>
        <w:t>Where:</w:t>
      </w:r>
    </w:p>
    <w:p w:rsidR="005371E7" w:rsidRPr="005371E7" w:rsidRDefault="005371E7" w:rsidP="005371E7">
      <w:pPr>
        <w:ind w:left="1440" w:hanging="360"/>
        <w:rPr>
          <w:szCs w:val="20"/>
        </w:rPr>
      </w:pPr>
      <w:r w:rsidRPr="005371E7">
        <w:rPr>
          <w:szCs w:val="20"/>
        </w:rPr>
        <w:t>ER = Emission rate of VOC in g/HP-hr.</w:t>
      </w:r>
    </w:p>
    <w:p w:rsidR="005371E7" w:rsidRPr="005371E7" w:rsidRDefault="005371E7" w:rsidP="005371E7">
      <w:pPr>
        <w:ind w:left="1440" w:hanging="360"/>
        <w:rPr>
          <w:szCs w:val="20"/>
        </w:rPr>
      </w:pPr>
      <w:r w:rsidRPr="005371E7">
        <w:rPr>
          <w:szCs w:val="20"/>
        </w:rPr>
        <w:t>C</w:t>
      </w:r>
      <w:r w:rsidRPr="005371E7">
        <w:rPr>
          <w:szCs w:val="20"/>
          <w:vertAlign w:val="subscript"/>
        </w:rPr>
        <w:t>d</w:t>
      </w:r>
      <w:r w:rsidRPr="005371E7">
        <w:rPr>
          <w:szCs w:val="20"/>
        </w:rPr>
        <w:t xml:space="preserve"> = VOC concentration measured as propane in </w:t>
      </w:r>
      <w:proofErr w:type="spellStart"/>
      <w:r w:rsidRPr="005371E7">
        <w:rPr>
          <w:szCs w:val="20"/>
        </w:rPr>
        <w:t>ppmv</w:t>
      </w:r>
      <w:proofErr w:type="spellEnd"/>
      <w:r w:rsidRPr="005371E7">
        <w:rPr>
          <w:szCs w:val="20"/>
        </w:rPr>
        <w:t>.</w:t>
      </w:r>
    </w:p>
    <w:p w:rsidR="005371E7" w:rsidRPr="005371E7" w:rsidRDefault="005371E7" w:rsidP="005371E7">
      <w:pPr>
        <w:ind w:left="1440" w:hanging="360"/>
        <w:rPr>
          <w:szCs w:val="20"/>
        </w:rPr>
      </w:pPr>
      <w:r w:rsidRPr="005371E7">
        <w:rPr>
          <w:szCs w:val="20"/>
        </w:rPr>
        <w:t>1.833x10</w:t>
      </w:r>
      <w:r w:rsidRPr="005371E7">
        <w:rPr>
          <w:szCs w:val="20"/>
          <w:vertAlign w:val="superscript"/>
        </w:rPr>
        <w:t>-3</w:t>
      </w:r>
      <w:r w:rsidRPr="005371E7">
        <w:rPr>
          <w:szCs w:val="20"/>
        </w:rPr>
        <w:t xml:space="preserve"> = Conversion constant for ppm VOC measured as propane, to grams per standard cubic meter at 20 degrees Celsius.</w:t>
      </w:r>
    </w:p>
    <w:p w:rsidR="005371E7" w:rsidRPr="005371E7" w:rsidRDefault="005371E7" w:rsidP="005371E7">
      <w:pPr>
        <w:ind w:left="1440" w:hanging="360"/>
        <w:rPr>
          <w:szCs w:val="20"/>
        </w:rPr>
      </w:pPr>
      <w:r w:rsidRPr="005371E7">
        <w:rPr>
          <w:szCs w:val="20"/>
        </w:rPr>
        <w:t>Q = Stack gas volumetric flow rate, in standard cubic meters per hour, dry basis.</w:t>
      </w:r>
    </w:p>
    <w:p w:rsidR="005371E7" w:rsidRPr="005371E7" w:rsidRDefault="005371E7" w:rsidP="005371E7">
      <w:pPr>
        <w:ind w:left="1440" w:hanging="360"/>
        <w:rPr>
          <w:szCs w:val="20"/>
        </w:rPr>
      </w:pPr>
      <w:r w:rsidRPr="005371E7">
        <w:rPr>
          <w:szCs w:val="20"/>
        </w:rPr>
        <w:t>T = Time of test run, in hours.</w:t>
      </w:r>
    </w:p>
    <w:p w:rsidR="005371E7" w:rsidRPr="005371E7" w:rsidRDefault="005371E7" w:rsidP="005371E7">
      <w:pPr>
        <w:ind w:left="1440" w:hanging="360"/>
        <w:rPr>
          <w:szCs w:val="20"/>
        </w:rPr>
      </w:pPr>
      <w:r w:rsidRPr="005371E7">
        <w:rPr>
          <w:szCs w:val="20"/>
        </w:rPr>
        <w:t>HP-</w:t>
      </w:r>
      <w:proofErr w:type="spellStart"/>
      <w:r w:rsidRPr="005371E7">
        <w:rPr>
          <w:szCs w:val="20"/>
        </w:rPr>
        <w:t>hr</w:t>
      </w:r>
      <w:proofErr w:type="spellEnd"/>
      <w:r w:rsidRPr="005371E7">
        <w:rPr>
          <w:szCs w:val="20"/>
        </w:rPr>
        <w:t xml:space="preserve"> = Brake work of the engine, in HP-hr.</w:t>
      </w:r>
    </w:p>
    <w:p w:rsidR="005371E7" w:rsidRPr="005371E7" w:rsidRDefault="005371E7" w:rsidP="005371E7">
      <w:pPr>
        <w:ind w:left="1440" w:hanging="360"/>
        <w:rPr>
          <w:szCs w:val="20"/>
        </w:rPr>
      </w:pPr>
    </w:p>
    <w:p w:rsidR="005371E7" w:rsidRPr="005371E7" w:rsidRDefault="005371E7" w:rsidP="005371E7">
      <w:pPr>
        <w:ind w:left="1080"/>
        <w:contextualSpacing/>
        <w:rPr>
          <w:sz w:val="32"/>
        </w:rPr>
      </w:pPr>
      <w:r w:rsidRPr="005371E7">
        <w:rPr>
          <w:szCs w:val="20"/>
        </w:rPr>
        <w:t xml:space="preserve">If the owner or operator chooses to measure VOC emissions using </w:t>
      </w:r>
      <w:proofErr w:type="gramStart"/>
      <w:r w:rsidRPr="005371E7">
        <w:rPr>
          <w:szCs w:val="20"/>
        </w:rPr>
        <w:t>either Method</w:t>
      </w:r>
      <w:proofErr w:type="gramEnd"/>
      <w:r w:rsidRPr="005371E7">
        <w:rPr>
          <w:szCs w:val="20"/>
        </w:rPr>
        <w:t xml:space="preserve"> 18 of 40 CFR 60, Appendix A, or Method 320 of 40 CFR 63, Appendix A, then it has the option of correcting the measured VOC emissions to account for the potential differences in measured values between</w:t>
      </w:r>
      <w:r>
        <w:rPr>
          <w:szCs w:val="20"/>
        </w:rPr>
        <w:t xml:space="preserve"> these methods and Method 25A. </w:t>
      </w:r>
      <w:r w:rsidRPr="005371E7">
        <w:rPr>
          <w:szCs w:val="20"/>
        </w:rPr>
        <w:t>The results from Method 18 and Method 320 can be corrected for response factor differences using Equati</w:t>
      </w:r>
      <w:r>
        <w:rPr>
          <w:szCs w:val="20"/>
        </w:rPr>
        <w:t xml:space="preserve">ons 4 and 5 of 40 CFR 60.4244. </w:t>
      </w:r>
      <w:r w:rsidRPr="005371E7">
        <w:rPr>
          <w:szCs w:val="20"/>
        </w:rPr>
        <w:t>The corrected VOC concentration can then be places on a propane basis using Equation 6 of that same section.</w:t>
      </w:r>
    </w:p>
    <w:p w:rsidR="00897D38" w:rsidRDefault="00897D38" w:rsidP="00897D38">
      <w:pPr>
        <w:ind w:left="720" w:hanging="360"/>
        <w:contextualSpacing/>
      </w:pPr>
    </w:p>
    <w:p w:rsidR="00897D38" w:rsidRDefault="006464F7" w:rsidP="005371E7">
      <w:pPr>
        <w:ind w:left="720" w:hanging="360"/>
      </w:pPr>
      <w:r>
        <w:t>b</w:t>
      </w:r>
      <w:r w:rsidR="005371E7">
        <w:t>.</w:t>
      </w:r>
      <w:r w:rsidR="005371E7">
        <w:tab/>
        <w:t xml:space="preserve">In addition to the requirements of Condition </w:t>
      </w:r>
      <w:proofErr w:type="gramStart"/>
      <w:r w:rsidR="005371E7">
        <w:t>IV(</w:t>
      </w:r>
      <w:proofErr w:type="gramEnd"/>
      <w:r w:rsidR="005371E7">
        <w:t>a), t</w:t>
      </w:r>
      <w:r w:rsidR="00897D38" w:rsidRPr="006243B7">
        <w:t xml:space="preserve">he </w:t>
      </w:r>
      <w:r w:rsidR="00897D38">
        <w:t>Permittee</w:t>
      </w:r>
      <w:r w:rsidR="00897D38" w:rsidRPr="006243B7">
        <w:t xml:space="preserve"> shall conduct and allow the Department access to conduct tests of air pollution emissions from any source as requested. </w:t>
      </w:r>
      <w:r w:rsidR="00897D38">
        <w:t>[</w:t>
      </w:r>
      <w:r w:rsidR="00897D38" w:rsidRPr="006243B7">
        <w:t>20 DCMR 502.1</w:t>
      </w:r>
      <w:r w:rsidR="00897D38">
        <w:t>]</w:t>
      </w:r>
    </w:p>
    <w:p w:rsidR="005371E7" w:rsidRDefault="005371E7" w:rsidP="005371E7">
      <w:pPr>
        <w:ind w:left="720" w:hanging="360"/>
      </w:pPr>
    </w:p>
    <w:p w:rsidR="005371E7" w:rsidRDefault="006464F7" w:rsidP="005371E7">
      <w:pPr>
        <w:ind w:left="720" w:hanging="360"/>
      </w:pPr>
      <w:r>
        <w:lastRenderedPageBreak/>
        <w:t>c</w:t>
      </w:r>
      <w:r w:rsidR="005371E7">
        <w:t>.</w:t>
      </w:r>
      <w:r w:rsidR="005371E7">
        <w:tab/>
      </w:r>
      <w:r w:rsidR="005371E7">
        <w:t>The Permittee shall maintain an awareness of the operation of the generator set</w:t>
      </w:r>
      <w:r w:rsidR="005371E7">
        <w:t>s</w:t>
      </w:r>
      <w:r w:rsidR="005371E7">
        <w:t xml:space="preserve"> to identify potential exceedances of Conditions </w:t>
      </w:r>
      <w:proofErr w:type="gramStart"/>
      <w:r w:rsidR="005371E7">
        <w:t>II(</w:t>
      </w:r>
      <w:proofErr w:type="gramEnd"/>
      <w:r w:rsidR="005371E7">
        <w:t>b) and (c)</w:t>
      </w:r>
      <w:r w:rsidR="005371E7">
        <w:t xml:space="preserve"> and shall comply with the following:</w:t>
      </w:r>
    </w:p>
    <w:p w:rsidR="005371E7" w:rsidRDefault="005371E7" w:rsidP="005371E7">
      <w:pPr>
        <w:ind w:left="720" w:hanging="360"/>
      </w:pPr>
    </w:p>
    <w:p w:rsidR="005371E7" w:rsidRDefault="005371E7" w:rsidP="005371E7">
      <w:pPr>
        <w:ind w:left="1080" w:hanging="360"/>
      </w:pPr>
      <w:r>
        <w:t>1.</w:t>
      </w:r>
      <w:r>
        <w:tab/>
        <w:t xml:space="preserve">At least once each month, during operation of each unit, the Permittee shall observe whether or not visible emissions are perceived from the emission point. </w:t>
      </w:r>
      <w:r>
        <w:t>If visible emissions are observed from the unit</w:t>
      </w:r>
      <w:r>
        <w:t xml:space="preserve"> during this observation or at any other time</w:t>
      </w:r>
      <w:r>
        <w:t xml:space="preserve">, the Permittee shall </w:t>
      </w:r>
      <w:r>
        <w:t xml:space="preserve">record the instance and </w:t>
      </w:r>
      <w:r>
        <w:t xml:space="preserve">have the visible emissions </w:t>
      </w:r>
      <w:r>
        <w:t xml:space="preserve">promptly </w:t>
      </w:r>
      <w:r>
        <w:t>tested by a qualified person certified to perform testing pursuant t</w:t>
      </w:r>
      <w:r>
        <w:t>o 40 CFR 60, Reference Method 9</w:t>
      </w:r>
      <w:r>
        <w:t xml:space="preserve"> </w:t>
      </w:r>
      <w:r>
        <w:t xml:space="preserve">to determine compliance with Condition II(b) </w:t>
      </w:r>
      <w:r>
        <w:t>[20 DCMR 502.1]</w:t>
      </w:r>
      <w:r>
        <w:t>; and</w:t>
      </w:r>
    </w:p>
    <w:p w:rsidR="005371E7" w:rsidRDefault="005371E7" w:rsidP="005371E7">
      <w:pPr>
        <w:ind w:left="1080" w:hanging="360"/>
      </w:pPr>
    </w:p>
    <w:p w:rsidR="005371E7" w:rsidRDefault="005371E7" w:rsidP="005371E7">
      <w:pPr>
        <w:ind w:left="1080" w:hanging="360"/>
      </w:pPr>
      <w:r>
        <w:t>2.</w:t>
      </w:r>
      <w:r>
        <w:tab/>
      </w:r>
      <w:r w:rsidRPr="005371E7">
        <w:t xml:space="preserve">If odors or other deviations from the requirements of Condition II(c) are identified, such information shall be recorded as well as action taken to correct the problem in accordance with Condition </w:t>
      </w:r>
      <w:proofErr w:type="gramStart"/>
      <w:r w:rsidRPr="005371E7">
        <w:t>V</w:t>
      </w:r>
      <w:r>
        <w:t>I</w:t>
      </w:r>
      <w:r w:rsidRPr="005371E7">
        <w:t>(</w:t>
      </w:r>
      <w:proofErr w:type="gramEnd"/>
      <w:r w:rsidRPr="005371E7">
        <w:t>a)(3).</w:t>
      </w:r>
    </w:p>
    <w:p w:rsidR="005371E7" w:rsidRDefault="005371E7" w:rsidP="005371E7">
      <w:pPr>
        <w:ind w:left="1080" w:hanging="360"/>
      </w:pPr>
    </w:p>
    <w:p w:rsidR="005371E7" w:rsidRDefault="005371E7" w:rsidP="005371E7">
      <w:pPr>
        <w:ind w:left="360" w:hanging="360"/>
      </w:pPr>
      <w:r>
        <w:t>V.</w:t>
      </w:r>
      <w:r>
        <w:tab/>
      </w:r>
      <w:r>
        <w:rPr>
          <w:u w:val="single"/>
        </w:rPr>
        <w:t>Notification and Reporting Requirements:</w:t>
      </w:r>
    </w:p>
    <w:p w:rsidR="005371E7" w:rsidRDefault="005371E7" w:rsidP="005371E7">
      <w:pPr>
        <w:ind w:left="360" w:hanging="360"/>
      </w:pPr>
    </w:p>
    <w:p w:rsidR="005371E7" w:rsidRPr="005371E7" w:rsidRDefault="005371E7" w:rsidP="005371E7">
      <w:pPr>
        <w:ind w:left="720" w:hanging="360"/>
        <w:rPr>
          <w:szCs w:val="20"/>
        </w:rPr>
      </w:pPr>
      <w:r>
        <w:rPr>
          <w:szCs w:val="20"/>
        </w:rPr>
        <w:t>a.</w:t>
      </w:r>
      <w:r>
        <w:rPr>
          <w:szCs w:val="20"/>
        </w:rPr>
        <w:tab/>
      </w:r>
      <w:r w:rsidRPr="005371E7">
        <w:rPr>
          <w:szCs w:val="20"/>
        </w:rPr>
        <w:t xml:space="preserve">The </w:t>
      </w:r>
      <w:r>
        <w:rPr>
          <w:szCs w:val="20"/>
        </w:rPr>
        <w:t>Permittee</w:t>
      </w:r>
      <w:r w:rsidRPr="005371E7">
        <w:rPr>
          <w:szCs w:val="20"/>
        </w:rPr>
        <w:t xml:space="preserve"> shall provide the</w:t>
      </w:r>
      <w:r>
        <w:rPr>
          <w:szCs w:val="20"/>
        </w:rPr>
        <w:t xml:space="preserve"> Department and </w:t>
      </w:r>
      <w:r w:rsidRPr="005371E7">
        <w:rPr>
          <w:szCs w:val="20"/>
        </w:rPr>
        <w:t>U.S. EPA at least 30 days prior notice of any performance test required under Condition IV to afford the agencies the opportunity to have observers present.</w:t>
      </w:r>
      <w:r>
        <w:rPr>
          <w:szCs w:val="20"/>
        </w:rPr>
        <w:t xml:space="preserve"> If after 30 </w:t>
      </w:r>
      <w:proofErr w:type="spellStart"/>
      <w:r w:rsidRPr="005371E7">
        <w:rPr>
          <w:szCs w:val="20"/>
        </w:rPr>
        <w:t>days notice</w:t>
      </w:r>
      <w:proofErr w:type="spellEnd"/>
      <w:r w:rsidRPr="005371E7">
        <w:rPr>
          <w:szCs w:val="20"/>
        </w:rPr>
        <w:t xml:space="preserve"> for an initially scheduled performance test, there is a delay (due to operational problems, etc.) in conducting the scheduled performance test, the </w:t>
      </w:r>
      <w:r>
        <w:rPr>
          <w:szCs w:val="20"/>
        </w:rPr>
        <w:t>Permittee</w:t>
      </w:r>
      <w:r w:rsidRPr="005371E7">
        <w:rPr>
          <w:szCs w:val="20"/>
        </w:rPr>
        <w:t xml:space="preserve"> shall notify the EPA Administrator and the D</w:t>
      </w:r>
      <w:r>
        <w:rPr>
          <w:szCs w:val="20"/>
        </w:rPr>
        <w:t>epartment</w:t>
      </w:r>
      <w:r w:rsidRPr="005371E7">
        <w:rPr>
          <w:szCs w:val="20"/>
        </w:rPr>
        <w:t xml:space="preserve"> as soon as possible of any delay in the original test date, either by providing at least 7 days prior notice of the rescheduled date of the performance test or by arranging a rescheduled date with the EPA Administrator and the D</w:t>
      </w:r>
      <w:r>
        <w:rPr>
          <w:szCs w:val="20"/>
        </w:rPr>
        <w:t>epartment</w:t>
      </w:r>
      <w:r w:rsidRPr="005371E7">
        <w:rPr>
          <w:szCs w:val="20"/>
        </w:rPr>
        <w:t xml:space="preserve"> by mutual agreement.</w:t>
      </w:r>
    </w:p>
    <w:p w:rsidR="005371E7" w:rsidRPr="005371E7" w:rsidRDefault="005371E7" w:rsidP="005371E7">
      <w:pPr>
        <w:ind w:left="720" w:hanging="360"/>
        <w:rPr>
          <w:szCs w:val="20"/>
        </w:rPr>
      </w:pPr>
    </w:p>
    <w:p w:rsidR="005371E7" w:rsidRPr="005371E7" w:rsidRDefault="005371E7" w:rsidP="005371E7">
      <w:pPr>
        <w:ind w:left="720" w:hanging="360"/>
        <w:rPr>
          <w:szCs w:val="20"/>
        </w:rPr>
      </w:pPr>
      <w:r w:rsidRPr="005371E7">
        <w:rPr>
          <w:szCs w:val="20"/>
        </w:rPr>
        <w:t>b.</w:t>
      </w:r>
      <w:r w:rsidRPr="005371E7">
        <w:rPr>
          <w:szCs w:val="20"/>
        </w:rPr>
        <w:tab/>
        <w:t>At least 30 days in advance of the proposed test date, a test protocol shall be submitted to the D</w:t>
      </w:r>
      <w:r>
        <w:rPr>
          <w:szCs w:val="20"/>
        </w:rPr>
        <w:t>epartment</w:t>
      </w:r>
      <w:r w:rsidRPr="005371E7">
        <w:rPr>
          <w:szCs w:val="20"/>
        </w:rPr>
        <w:t xml:space="preserve"> for review. The testing shall be conducted in accordance with Federal and District requirements.</w:t>
      </w:r>
    </w:p>
    <w:p w:rsidR="005371E7" w:rsidRPr="005371E7" w:rsidRDefault="005371E7" w:rsidP="005371E7">
      <w:pPr>
        <w:ind w:left="720" w:hanging="360"/>
        <w:rPr>
          <w:szCs w:val="20"/>
        </w:rPr>
      </w:pPr>
    </w:p>
    <w:p w:rsidR="005371E7" w:rsidRPr="005371E7" w:rsidRDefault="005371E7" w:rsidP="005371E7">
      <w:pPr>
        <w:ind w:left="720" w:hanging="360"/>
        <w:rPr>
          <w:szCs w:val="20"/>
        </w:rPr>
      </w:pPr>
      <w:r w:rsidRPr="005371E7">
        <w:rPr>
          <w:szCs w:val="20"/>
        </w:rPr>
        <w:t>c.</w:t>
      </w:r>
      <w:r w:rsidRPr="005371E7">
        <w:rPr>
          <w:szCs w:val="20"/>
        </w:rPr>
        <w:tab/>
        <w:t xml:space="preserve">The test protocol </w:t>
      </w:r>
      <w:r>
        <w:rPr>
          <w:szCs w:val="20"/>
        </w:rPr>
        <w:t xml:space="preserve">and test date(s) </w:t>
      </w:r>
      <w:r w:rsidRPr="005371E7">
        <w:rPr>
          <w:szCs w:val="20"/>
        </w:rPr>
        <w:t>shall be approved by the D</w:t>
      </w:r>
      <w:r>
        <w:rPr>
          <w:szCs w:val="20"/>
        </w:rPr>
        <w:t>epartment</w:t>
      </w:r>
      <w:r w:rsidRPr="005371E7">
        <w:rPr>
          <w:szCs w:val="20"/>
        </w:rPr>
        <w:t xml:space="preserve"> prior to initiating any testing. The D</w:t>
      </w:r>
      <w:r>
        <w:rPr>
          <w:szCs w:val="20"/>
        </w:rPr>
        <w:t>epartment</w:t>
      </w:r>
      <w:r w:rsidRPr="005371E7">
        <w:rPr>
          <w:szCs w:val="20"/>
        </w:rPr>
        <w:t xml:space="preserve"> must have the opportunity to observe the test for the results to be considered for acceptance.</w:t>
      </w:r>
    </w:p>
    <w:p w:rsidR="005371E7" w:rsidRPr="005371E7" w:rsidRDefault="005371E7" w:rsidP="005371E7">
      <w:pPr>
        <w:ind w:left="720" w:hanging="360"/>
        <w:rPr>
          <w:szCs w:val="20"/>
        </w:rPr>
      </w:pPr>
    </w:p>
    <w:p w:rsidR="005371E7" w:rsidRPr="005371E7" w:rsidRDefault="005371E7" w:rsidP="005371E7">
      <w:pPr>
        <w:ind w:left="720" w:hanging="360"/>
        <w:rPr>
          <w:szCs w:val="20"/>
        </w:rPr>
      </w:pPr>
      <w:r w:rsidRPr="005371E7">
        <w:rPr>
          <w:szCs w:val="20"/>
        </w:rPr>
        <w:t>d.</w:t>
      </w:r>
      <w:r w:rsidRPr="005371E7">
        <w:rPr>
          <w:szCs w:val="20"/>
        </w:rPr>
        <w:tab/>
        <w:t>The results of the testing performed pursuant to Condit</w:t>
      </w:r>
      <w:r>
        <w:rPr>
          <w:szCs w:val="20"/>
        </w:rPr>
        <w:t xml:space="preserve">ion </w:t>
      </w:r>
      <w:proofErr w:type="gramStart"/>
      <w:r>
        <w:rPr>
          <w:szCs w:val="20"/>
        </w:rPr>
        <w:t>IV(</w:t>
      </w:r>
      <w:proofErr w:type="gramEnd"/>
      <w:r>
        <w:rPr>
          <w:szCs w:val="20"/>
        </w:rPr>
        <w:t xml:space="preserve">a) shall be submitted </w:t>
      </w:r>
      <w:r w:rsidRPr="005371E7">
        <w:rPr>
          <w:szCs w:val="20"/>
        </w:rPr>
        <w:t>to the Department and the US EPA within 60 days after completion of the testing program.</w:t>
      </w:r>
    </w:p>
    <w:p w:rsidR="005371E7" w:rsidRPr="005371E7" w:rsidRDefault="005371E7" w:rsidP="005371E7">
      <w:pPr>
        <w:ind w:left="720" w:hanging="360"/>
        <w:rPr>
          <w:szCs w:val="20"/>
        </w:rPr>
      </w:pPr>
    </w:p>
    <w:p w:rsidR="005371E7" w:rsidRPr="005371E7" w:rsidRDefault="005371E7" w:rsidP="005371E7">
      <w:pPr>
        <w:tabs>
          <w:tab w:val="left" w:pos="720"/>
        </w:tabs>
        <w:ind w:left="720" w:hanging="360"/>
      </w:pPr>
      <w:r w:rsidRPr="005371E7">
        <w:t>e.</w:t>
      </w:r>
      <w:r w:rsidRPr="005371E7">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371E7" w:rsidRPr="005371E7" w:rsidRDefault="005371E7" w:rsidP="005371E7">
      <w:pPr>
        <w:ind w:left="1800" w:hanging="360"/>
      </w:pPr>
    </w:p>
    <w:p w:rsidR="005371E7" w:rsidRPr="005371E7" w:rsidRDefault="005371E7" w:rsidP="005371E7">
      <w:pPr>
        <w:ind w:left="1080" w:hanging="360"/>
      </w:pPr>
      <w:r w:rsidRPr="005371E7">
        <w:t>i.</w:t>
      </w:r>
      <w:r w:rsidRPr="005371E7">
        <w:tab/>
        <w:t>A statement that the Permittee has reviewed the report from the emissions testing firm and agrees with the findings.</w:t>
      </w:r>
    </w:p>
    <w:p w:rsidR="005371E7" w:rsidRPr="005371E7" w:rsidRDefault="005371E7" w:rsidP="005371E7">
      <w:pPr>
        <w:ind w:left="1080" w:hanging="360"/>
      </w:pPr>
      <w:bookmarkStart w:id="0" w:name="_GoBack"/>
      <w:bookmarkEnd w:id="0"/>
      <w:r w:rsidRPr="005371E7">
        <w:lastRenderedPageBreak/>
        <w:t>ii.</w:t>
      </w:r>
      <w:r w:rsidRPr="005371E7">
        <w:tab/>
        <w:t>Permit number(s) and condition(s) which are the basis for the compliance evaluation.</w:t>
      </w:r>
    </w:p>
    <w:p w:rsidR="005371E7" w:rsidRPr="005371E7" w:rsidRDefault="005371E7" w:rsidP="005371E7">
      <w:pPr>
        <w:ind w:left="1080" w:hanging="360"/>
      </w:pPr>
    </w:p>
    <w:p w:rsidR="005371E7" w:rsidRPr="005371E7" w:rsidRDefault="005371E7" w:rsidP="005371E7">
      <w:pPr>
        <w:ind w:left="1080" w:hanging="360"/>
      </w:pPr>
      <w:r w:rsidRPr="005371E7">
        <w:t>iii.</w:t>
      </w:r>
      <w:r w:rsidRPr="005371E7">
        <w:tab/>
        <w:t xml:space="preserve">Summary of results with respect to each </w:t>
      </w:r>
      <w:proofErr w:type="gramStart"/>
      <w:r w:rsidRPr="005371E7">
        <w:t>permit</w:t>
      </w:r>
      <w:proofErr w:type="gramEnd"/>
      <w:r w:rsidRPr="005371E7">
        <w:t xml:space="preserve"> condition.</w:t>
      </w:r>
    </w:p>
    <w:p w:rsidR="005371E7" w:rsidRPr="005371E7" w:rsidRDefault="005371E7" w:rsidP="005371E7">
      <w:pPr>
        <w:ind w:left="1080" w:hanging="360"/>
      </w:pPr>
    </w:p>
    <w:p w:rsidR="005371E7" w:rsidRPr="005371E7" w:rsidRDefault="005371E7" w:rsidP="005371E7">
      <w:pPr>
        <w:ind w:left="1080" w:hanging="360"/>
      </w:pPr>
      <w:r w:rsidRPr="005371E7">
        <w:t>iv.</w:t>
      </w:r>
      <w:r w:rsidRPr="005371E7">
        <w:tab/>
        <w:t xml:space="preserve">Statement of compliance or non-compliance with each </w:t>
      </w:r>
      <w:proofErr w:type="gramStart"/>
      <w:r w:rsidRPr="005371E7">
        <w:t>permit</w:t>
      </w:r>
      <w:proofErr w:type="gramEnd"/>
      <w:r w:rsidRPr="005371E7">
        <w:t xml:space="preserve"> condition.</w:t>
      </w:r>
    </w:p>
    <w:p w:rsidR="005371E7" w:rsidRPr="005371E7" w:rsidRDefault="005371E7" w:rsidP="005371E7">
      <w:pPr>
        <w:ind w:left="720" w:hanging="360"/>
        <w:rPr>
          <w:szCs w:val="20"/>
        </w:rPr>
      </w:pPr>
    </w:p>
    <w:p w:rsidR="005371E7" w:rsidRPr="005371E7" w:rsidRDefault="005371E7" w:rsidP="005371E7">
      <w:pPr>
        <w:ind w:left="720" w:hanging="360"/>
        <w:rPr>
          <w:szCs w:val="20"/>
        </w:rPr>
      </w:pPr>
      <w:r w:rsidRPr="005371E7">
        <w:rPr>
          <w:szCs w:val="20"/>
        </w:rPr>
        <w:t>f.</w:t>
      </w:r>
      <w:r w:rsidRPr="005371E7">
        <w:rPr>
          <w:szCs w:val="20"/>
        </w:rPr>
        <w:tab/>
        <w:t xml:space="preserve">The results </w:t>
      </w:r>
      <w:r>
        <w:rPr>
          <w:szCs w:val="20"/>
        </w:rPr>
        <w:t>must demonstrate to the Department</w:t>
      </w:r>
      <w:r w:rsidRPr="005371E7">
        <w:rPr>
          <w:szCs w:val="20"/>
        </w:rPr>
        <w: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5371E7" w:rsidRPr="005371E7" w:rsidRDefault="005371E7" w:rsidP="005371E7">
      <w:pPr>
        <w:ind w:left="720" w:hanging="360"/>
        <w:rPr>
          <w:szCs w:val="20"/>
        </w:rPr>
      </w:pPr>
    </w:p>
    <w:p w:rsidR="005371E7" w:rsidRPr="005371E7" w:rsidRDefault="005371E7" w:rsidP="005371E7">
      <w:pPr>
        <w:ind w:left="720" w:hanging="360"/>
        <w:rPr>
          <w:szCs w:val="20"/>
        </w:rPr>
      </w:pPr>
      <w:r w:rsidRPr="005371E7">
        <w:rPr>
          <w:szCs w:val="20"/>
        </w:rPr>
        <w:t>g.</w:t>
      </w:r>
      <w:r w:rsidRPr="005371E7">
        <w:rPr>
          <w:szCs w:val="20"/>
        </w:rPr>
        <w:tab/>
        <w:t xml:space="preserve">The notifications and reports required under Conditions </w:t>
      </w:r>
      <w:proofErr w:type="gramStart"/>
      <w:r w:rsidRPr="005371E7">
        <w:rPr>
          <w:szCs w:val="20"/>
        </w:rPr>
        <w:t>V(</w:t>
      </w:r>
      <w:proofErr w:type="gramEnd"/>
      <w:r w:rsidRPr="005371E7">
        <w:rPr>
          <w:szCs w:val="20"/>
        </w:rPr>
        <w:t xml:space="preserve">a), (d) and (e) shall be submitted to the Department and the U.S. EPA at following addresses. The protocol required under Condition </w:t>
      </w:r>
      <w:proofErr w:type="gramStart"/>
      <w:r w:rsidRPr="005371E7">
        <w:rPr>
          <w:szCs w:val="20"/>
        </w:rPr>
        <w:t>V</w:t>
      </w:r>
      <w:r>
        <w:rPr>
          <w:szCs w:val="20"/>
        </w:rPr>
        <w:t>(</w:t>
      </w:r>
      <w:proofErr w:type="gramEnd"/>
      <w:r>
        <w:rPr>
          <w:szCs w:val="20"/>
        </w:rPr>
        <w:t xml:space="preserve">b) and </w:t>
      </w:r>
      <w:r w:rsidRPr="005371E7">
        <w:rPr>
          <w:szCs w:val="20"/>
        </w:rPr>
        <w:t>(c) need only be submitted to the D</w:t>
      </w:r>
      <w:r>
        <w:rPr>
          <w:szCs w:val="20"/>
        </w:rPr>
        <w:t>epartment</w:t>
      </w:r>
      <w:r w:rsidRPr="005371E7">
        <w:rPr>
          <w:szCs w:val="20"/>
        </w:rPr>
        <w:t xml:space="preserve"> at the following address.</w:t>
      </w:r>
    </w:p>
    <w:p w:rsidR="005371E7" w:rsidRPr="005371E7" w:rsidRDefault="005371E7" w:rsidP="005371E7">
      <w:pPr>
        <w:ind w:left="360"/>
        <w:rPr>
          <w:szCs w:val="20"/>
        </w:rPr>
      </w:pPr>
    </w:p>
    <w:p w:rsidR="005371E7" w:rsidRPr="005371E7" w:rsidRDefault="005371E7" w:rsidP="005371E7">
      <w:pPr>
        <w:ind w:left="720"/>
        <w:rPr>
          <w:szCs w:val="20"/>
        </w:rPr>
      </w:pPr>
      <w:r w:rsidRPr="005371E7">
        <w:rPr>
          <w:szCs w:val="20"/>
        </w:rPr>
        <w:t xml:space="preserve">Attn: Chief, </w:t>
      </w:r>
      <w:r>
        <w:rPr>
          <w:szCs w:val="20"/>
        </w:rPr>
        <w:t>Compliance</w:t>
      </w:r>
      <w:r w:rsidRPr="005371E7">
        <w:rPr>
          <w:szCs w:val="20"/>
        </w:rPr>
        <w:t xml:space="preserve"> and Enforcement Branch</w:t>
      </w:r>
    </w:p>
    <w:p w:rsidR="005371E7" w:rsidRPr="005371E7" w:rsidRDefault="005371E7" w:rsidP="005371E7">
      <w:pPr>
        <w:ind w:left="720"/>
        <w:rPr>
          <w:szCs w:val="20"/>
        </w:rPr>
      </w:pPr>
      <w:r w:rsidRPr="005371E7">
        <w:rPr>
          <w:szCs w:val="20"/>
        </w:rPr>
        <w:t xml:space="preserve">Department of </w:t>
      </w:r>
      <w:r>
        <w:rPr>
          <w:szCs w:val="20"/>
        </w:rPr>
        <w:t>Energy and</w:t>
      </w:r>
      <w:r w:rsidRPr="005371E7">
        <w:rPr>
          <w:szCs w:val="20"/>
        </w:rPr>
        <w:t xml:space="preserve"> Environment</w:t>
      </w:r>
    </w:p>
    <w:p w:rsidR="005371E7" w:rsidRPr="005371E7" w:rsidRDefault="005371E7" w:rsidP="005371E7">
      <w:pPr>
        <w:ind w:left="720"/>
        <w:rPr>
          <w:szCs w:val="20"/>
        </w:rPr>
      </w:pPr>
      <w:r w:rsidRPr="005371E7">
        <w:rPr>
          <w:szCs w:val="20"/>
        </w:rPr>
        <w:t>Air Quality Division</w:t>
      </w:r>
    </w:p>
    <w:p w:rsidR="005371E7" w:rsidRPr="005371E7" w:rsidRDefault="005371E7" w:rsidP="005371E7">
      <w:pPr>
        <w:ind w:left="720"/>
        <w:rPr>
          <w:szCs w:val="20"/>
        </w:rPr>
      </w:pPr>
      <w:r w:rsidRPr="005371E7">
        <w:rPr>
          <w:szCs w:val="20"/>
        </w:rPr>
        <w:t xml:space="preserve">1200 </w:t>
      </w:r>
      <w:smartTag w:uri="urn:schemas-microsoft-com:office:smarttags" w:element="Street">
        <w:smartTag w:uri="urn:schemas-microsoft-com:office:smarttags" w:element="address">
          <w:r w:rsidRPr="005371E7">
            <w:rPr>
              <w:szCs w:val="20"/>
            </w:rPr>
            <w:t>First Street NE</w:t>
          </w:r>
        </w:smartTag>
      </w:smartTag>
      <w:r w:rsidRPr="005371E7">
        <w:rPr>
          <w:szCs w:val="20"/>
        </w:rPr>
        <w:t>, 5</w:t>
      </w:r>
      <w:r w:rsidRPr="005371E7">
        <w:rPr>
          <w:szCs w:val="20"/>
          <w:vertAlign w:val="superscript"/>
        </w:rPr>
        <w:t>th</w:t>
      </w:r>
      <w:r w:rsidRPr="005371E7">
        <w:rPr>
          <w:szCs w:val="20"/>
        </w:rPr>
        <w:t xml:space="preserve"> Floor</w:t>
      </w:r>
    </w:p>
    <w:p w:rsidR="005371E7" w:rsidRPr="005371E7" w:rsidRDefault="005371E7" w:rsidP="005371E7">
      <w:pPr>
        <w:ind w:left="720"/>
        <w:rPr>
          <w:szCs w:val="20"/>
        </w:rPr>
      </w:pPr>
      <w:smartTag w:uri="urn:schemas-microsoft-com:office:smarttags" w:element="place">
        <w:smartTag w:uri="urn:schemas-microsoft-com:office:smarttags" w:element="City">
          <w:r w:rsidRPr="005371E7">
            <w:rPr>
              <w:szCs w:val="20"/>
            </w:rPr>
            <w:t>Washington</w:t>
          </w:r>
        </w:smartTag>
        <w:r w:rsidRPr="005371E7">
          <w:rPr>
            <w:szCs w:val="20"/>
          </w:rPr>
          <w:t xml:space="preserve"> </w:t>
        </w:r>
        <w:smartTag w:uri="urn:schemas-microsoft-com:office:smarttags" w:element="State">
          <w:r w:rsidRPr="005371E7">
            <w:rPr>
              <w:szCs w:val="20"/>
            </w:rPr>
            <w:t>DC</w:t>
          </w:r>
        </w:smartTag>
        <w:r w:rsidRPr="005371E7">
          <w:rPr>
            <w:szCs w:val="20"/>
          </w:rPr>
          <w:t xml:space="preserve"> </w:t>
        </w:r>
        <w:smartTag w:uri="urn:schemas-microsoft-com:office:smarttags" w:element="PostalCode">
          <w:r w:rsidRPr="005371E7">
            <w:rPr>
              <w:szCs w:val="20"/>
            </w:rPr>
            <w:t>20002</w:t>
          </w:r>
        </w:smartTag>
      </w:smartTag>
    </w:p>
    <w:p w:rsidR="005371E7" w:rsidRPr="005371E7" w:rsidRDefault="005371E7" w:rsidP="005371E7">
      <w:pPr>
        <w:ind w:left="720"/>
        <w:rPr>
          <w:szCs w:val="20"/>
        </w:rPr>
      </w:pPr>
    </w:p>
    <w:p w:rsidR="005371E7" w:rsidRPr="005371E7" w:rsidRDefault="005371E7" w:rsidP="005371E7">
      <w:pPr>
        <w:ind w:left="720"/>
        <w:rPr>
          <w:szCs w:val="20"/>
        </w:rPr>
      </w:pPr>
      <w:proofErr w:type="gramStart"/>
      <w:r w:rsidRPr="005371E7">
        <w:rPr>
          <w:szCs w:val="20"/>
        </w:rPr>
        <w:t>and</w:t>
      </w:r>
      <w:proofErr w:type="gramEnd"/>
    </w:p>
    <w:p w:rsidR="005371E7" w:rsidRPr="005371E7" w:rsidRDefault="005371E7" w:rsidP="005371E7">
      <w:pPr>
        <w:ind w:left="720"/>
        <w:rPr>
          <w:szCs w:val="20"/>
        </w:rPr>
      </w:pPr>
    </w:p>
    <w:p w:rsidR="005371E7" w:rsidRPr="005371E7" w:rsidRDefault="005371E7" w:rsidP="005371E7">
      <w:pPr>
        <w:ind w:left="720"/>
        <w:rPr>
          <w:szCs w:val="20"/>
        </w:rPr>
      </w:pPr>
      <w:smartTag w:uri="urn:schemas-microsoft-com:office:smarttags" w:element="place">
        <w:smartTag w:uri="urn:schemas-microsoft-com:office:smarttags" w:element="country-region">
          <w:r w:rsidRPr="005371E7">
            <w:rPr>
              <w:szCs w:val="20"/>
            </w:rPr>
            <w:t>U.S.</w:t>
          </w:r>
        </w:smartTag>
      </w:smartTag>
      <w:r w:rsidRPr="005371E7">
        <w:rPr>
          <w:szCs w:val="20"/>
        </w:rPr>
        <w:t xml:space="preserve"> Environmental Protection Agency</w:t>
      </w:r>
    </w:p>
    <w:p w:rsidR="005371E7" w:rsidRPr="005371E7" w:rsidRDefault="005371E7" w:rsidP="005371E7">
      <w:pPr>
        <w:ind w:left="720"/>
        <w:rPr>
          <w:szCs w:val="20"/>
        </w:rPr>
      </w:pPr>
      <w:r w:rsidRPr="005371E7">
        <w:rPr>
          <w:szCs w:val="20"/>
        </w:rPr>
        <w:t>Attn: Director, Air Protection Division</w:t>
      </w:r>
    </w:p>
    <w:p w:rsidR="005371E7" w:rsidRPr="005371E7" w:rsidRDefault="005371E7" w:rsidP="005371E7">
      <w:pPr>
        <w:ind w:left="720"/>
        <w:rPr>
          <w:szCs w:val="20"/>
        </w:rPr>
      </w:pPr>
      <w:r>
        <w:rPr>
          <w:szCs w:val="20"/>
        </w:rPr>
        <w:t xml:space="preserve">Mail Code </w:t>
      </w:r>
      <w:r w:rsidRPr="005371E7">
        <w:rPr>
          <w:szCs w:val="20"/>
        </w:rPr>
        <w:t>3AP00</w:t>
      </w:r>
    </w:p>
    <w:p w:rsidR="005371E7" w:rsidRPr="005371E7" w:rsidRDefault="005371E7" w:rsidP="005371E7">
      <w:pPr>
        <w:ind w:left="720"/>
        <w:rPr>
          <w:szCs w:val="20"/>
        </w:rPr>
      </w:pPr>
      <w:smartTag w:uri="urn:schemas-microsoft-com:office:smarttags" w:element="Street">
        <w:smartTag w:uri="urn:schemas-microsoft-com:office:smarttags" w:element="address">
          <w:r w:rsidRPr="005371E7">
            <w:rPr>
              <w:szCs w:val="20"/>
            </w:rPr>
            <w:t>1650 Arch Street</w:t>
          </w:r>
        </w:smartTag>
      </w:smartTag>
    </w:p>
    <w:p w:rsidR="005371E7" w:rsidRPr="005371E7" w:rsidRDefault="005371E7" w:rsidP="005371E7">
      <w:pPr>
        <w:ind w:left="1080" w:hanging="360"/>
        <w:rPr>
          <w:sz w:val="32"/>
        </w:rPr>
      </w:pPr>
      <w:r w:rsidRPr="005371E7">
        <w:rPr>
          <w:szCs w:val="20"/>
        </w:rPr>
        <w:t xml:space="preserve">Philadelphia </w:t>
      </w:r>
      <w:smartTag w:uri="urn:schemas-microsoft-com:office:smarttags" w:element="State">
        <w:r w:rsidRPr="005371E7">
          <w:rPr>
            <w:szCs w:val="20"/>
          </w:rPr>
          <w:t>PA</w:t>
        </w:r>
      </w:smartTag>
      <w:r w:rsidRPr="005371E7">
        <w:rPr>
          <w:szCs w:val="20"/>
        </w:rPr>
        <w:t xml:space="preserve"> </w:t>
      </w:r>
      <w:smartTag w:uri="urn:schemas-microsoft-com:office:smarttags" w:element="PostalCode">
        <w:r w:rsidRPr="005371E7">
          <w:rPr>
            <w:szCs w:val="20"/>
          </w:rPr>
          <w:t>19103-2029</w:t>
        </w:r>
      </w:smartTag>
    </w:p>
    <w:p w:rsidR="00564065" w:rsidRDefault="00564065" w:rsidP="00564065">
      <w:pPr>
        <w:ind w:left="360" w:hanging="360"/>
      </w:pPr>
    </w:p>
    <w:p w:rsidR="00564065" w:rsidRPr="006243B7" w:rsidRDefault="00564065" w:rsidP="00564065">
      <w:pPr>
        <w:ind w:left="360" w:hanging="360"/>
      </w:pPr>
      <w:r w:rsidRPr="006243B7">
        <w:t>V</w:t>
      </w:r>
      <w:r w:rsidR="005371E7">
        <w:t>I</w:t>
      </w:r>
      <w:r w:rsidRPr="006243B7">
        <w:t>.</w:t>
      </w:r>
      <w:r w:rsidRPr="006243B7">
        <w:tab/>
      </w:r>
      <w:r>
        <w:rPr>
          <w:u w:val="single"/>
        </w:rPr>
        <w:t>Record Keeping and Reporting Requirements</w:t>
      </w:r>
      <w:r>
        <w:t>:</w:t>
      </w:r>
    </w:p>
    <w:p w:rsidR="00564065" w:rsidRDefault="00564065" w:rsidP="00564065">
      <w:pPr>
        <w:ind w:left="360" w:hanging="360"/>
      </w:pPr>
    </w:p>
    <w:p w:rsidR="005371E7" w:rsidRDefault="002D27DC" w:rsidP="002D27DC">
      <w:pPr>
        <w:ind w:left="720" w:hanging="360"/>
      </w:pPr>
      <w:r w:rsidRPr="006243B7">
        <w:t>a.</w:t>
      </w:r>
      <w:r w:rsidRPr="006243B7">
        <w:tab/>
      </w:r>
      <w:r w:rsidR="005371E7">
        <w:t xml:space="preserve">The following records shall be maintained indefinitely at the facility </w:t>
      </w:r>
      <w:r w:rsidR="005371E7">
        <w:t>[40 CFR 60.4245(a)]</w:t>
      </w:r>
      <w:r w:rsidR="005371E7">
        <w:t xml:space="preserve">: </w:t>
      </w:r>
    </w:p>
    <w:p w:rsidR="005371E7" w:rsidRDefault="005371E7" w:rsidP="005371E7">
      <w:pPr>
        <w:ind w:left="720" w:hanging="360"/>
      </w:pPr>
    </w:p>
    <w:p w:rsidR="005371E7" w:rsidRPr="005371E7" w:rsidRDefault="005371E7" w:rsidP="005371E7">
      <w:pPr>
        <w:pStyle w:val="BodyTextIndent2"/>
        <w:spacing w:after="0" w:line="240" w:lineRule="auto"/>
        <w:ind w:left="1080" w:hanging="360"/>
        <w:rPr>
          <w:szCs w:val="20"/>
        </w:rPr>
      </w:pPr>
      <w:r>
        <w:t>1.</w:t>
      </w:r>
      <w:r>
        <w:tab/>
      </w:r>
      <w:r w:rsidRPr="005371E7">
        <w:rPr>
          <w:szCs w:val="20"/>
        </w:rPr>
        <w:t>All notifications submitted pursuant to 40 CFR 60, Subpart JJJJ and all documentat</w:t>
      </w:r>
      <w:r>
        <w:rPr>
          <w:szCs w:val="20"/>
        </w:rPr>
        <w:t>ion supporting any notification;</w:t>
      </w:r>
    </w:p>
    <w:p w:rsidR="005371E7" w:rsidRPr="005371E7" w:rsidRDefault="005371E7" w:rsidP="005371E7">
      <w:pPr>
        <w:ind w:left="1080" w:hanging="360"/>
        <w:rPr>
          <w:szCs w:val="20"/>
        </w:rPr>
      </w:pPr>
    </w:p>
    <w:p w:rsidR="005371E7" w:rsidRPr="005371E7" w:rsidRDefault="005371E7" w:rsidP="005371E7">
      <w:pPr>
        <w:ind w:left="1080" w:hanging="360"/>
        <w:rPr>
          <w:szCs w:val="20"/>
        </w:rPr>
      </w:pPr>
      <w:r w:rsidRPr="005371E7">
        <w:rPr>
          <w:szCs w:val="20"/>
        </w:rPr>
        <w:t>2.</w:t>
      </w:r>
      <w:r w:rsidRPr="005371E7">
        <w:rPr>
          <w:szCs w:val="20"/>
        </w:rPr>
        <w:tab/>
        <w:t>Records of maint</w:t>
      </w:r>
      <w:r>
        <w:rPr>
          <w:szCs w:val="20"/>
        </w:rPr>
        <w:t xml:space="preserve">enance conducted on the engines </w:t>
      </w:r>
      <w:r w:rsidRPr="000E4BCC">
        <w:rPr>
          <w:i/>
        </w:rPr>
        <w:t xml:space="preserve">[Note that these records must be </w:t>
      </w:r>
      <w:r>
        <w:rPr>
          <w:i/>
        </w:rPr>
        <w:t xml:space="preserve">     </w:t>
      </w:r>
      <w:r w:rsidRPr="000E4BCC">
        <w:rPr>
          <w:i/>
        </w:rPr>
        <w:t>sufficient such that the Permittee is complying with the requirements of Condition III(</w:t>
      </w:r>
      <w:r>
        <w:rPr>
          <w:i/>
        </w:rPr>
        <w:t>c</w:t>
      </w:r>
      <w:r w:rsidRPr="000E4BCC">
        <w:rPr>
          <w:i/>
        </w:rPr>
        <w:t>)]</w:t>
      </w:r>
      <w:r w:rsidRPr="005371E7">
        <w:t>;</w:t>
      </w:r>
    </w:p>
    <w:p w:rsidR="005371E7" w:rsidRPr="005371E7" w:rsidRDefault="005371E7" w:rsidP="005371E7">
      <w:pPr>
        <w:ind w:left="1080" w:hanging="360"/>
        <w:rPr>
          <w:szCs w:val="20"/>
        </w:rPr>
      </w:pPr>
    </w:p>
    <w:p w:rsidR="005371E7" w:rsidRDefault="005371E7" w:rsidP="005371E7">
      <w:pPr>
        <w:ind w:left="1080" w:hanging="360"/>
        <w:rPr>
          <w:szCs w:val="20"/>
        </w:rPr>
      </w:pPr>
      <w:r w:rsidRPr="005371E7">
        <w:rPr>
          <w:szCs w:val="20"/>
        </w:rPr>
        <w:t>3.</w:t>
      </w:r>
      <w:r w:rsidRPr="005371E7">
        <w:rPr>
          <w:szCs w:val="20"/>
        </w:rPr>
        <w:tab/>
        <w:t>Documentation that the engines meet the emission standards specified in</w:t>
      </w:r>
      <w:r>
        <w:rPr>
          <w:szCs w:val="20"/>
        </w:rPr>
        <w:t xml:space="preserve"> Condition </w:t>
      </w:r>
      <w:proofErr w:type="gramStart"/>
      <w:r>
        <w:rPr>
          <w:szCs w:val="20"/>
        </w:rPr>
        <w:t>II(</w:t>
      </w:r>
      <w:proofErr w:type="gramEnd"/>
      <w:r>
        <w:rPr>
          <w:szCs w:val="20"/>
        </w:rPr>
        <w:t>a) of this permit;</w:t>
      </w:r>
    </w:p>
    <w:p w:rsidR="005371E7" w:rsidRDefault="005371E7" w:rsidP="005371E7">
      <w:pPr>
        <w:ind w:left="1080" w:hanging="360"/>
        <w:rPr>
          <w:szCs w:val="20"/>
        </w:rPr>
      </w:pPr>
    </w:p>
    <w:p w:rsidR="005371E7" w:rsidRDefault="005371E7" w:rsidP="005371E7">
      <w:pPr>
        <w:ind w:left="1080" w:hanging="360"/>
      </w:pPr>
      <w:r>
        <w:rPr>
          <w:szCs w:val="20"/>
        </w:rPr>
        <w:t>4.</w:t>
      </w:r>
      <w:r>
        <w:rPr>
          <w:szCs w:val="20"/>
        </w:rPr>
        <w:tab/>
        <w:t>A</w:t>
      </w:r>
      <w:r w:rsidRPr="006243B7">
        <w:t xml:space="preserve"> copy of the emergency generator’s manufacturer’s maintenance and operating </w:t>
      </w:r>
      <w:r>
        <w:t xml:space="preserve">recommendations at the facility as well as a copy of the maintenance </w:t>
      </w:r>
      <w:r>
        <w:t>plan for the equipment; and</w:t>
      </w:r>
    </w:p>
    <w:p w:rsidR="005371E7" w:rsidRDefault="005371E7" w:rsidP="005371E7">
      <w:pPr>
        <w:ind w:left="1080" w:hanging="360"/>
      </w:pPr>
    </w:p>
    <w:p w:rsidR="005371E7" w:rsidRPr="005371E7" w:rsidRDefault="005371E7" w:rsidP="005371E7">
      <w:pPr>
        <w:ind w:left="1080" w:hanging="360"/>
        <w:rPr>
          <w:szCs w:val="20"/>
        </w:rPr>
      </w:pPr>
      <w:r>
        <w:t>5.</w:t>
      </w:r>
      <w:r>
        <w:tab/>
        <w:t xml:space="preserve">Records of the results of the testing required pursuant to Condition </w:t>
      </w:r>
      <w:proofErr w:type="gramStart"/>
      <w:r>
        <w:t>IV(</w:t>
      </w:r>
      <w:proofErr w:type="gramEnd"/>
      <w:r>
        <w:t>a), including documentation of what was submitted to the Department and EPA.</w:t>
      </w:r>
    </w:p>
    <w:p w:rsidR="005371E7" w:rsidRDefault="005371E7" w:rsidP="002D27DC">
      <w:pPr>
        <w:ind w:left="720" w:hanging="360"/>
      </w:pPr>
    </w:p>
    <w:p w:rsidR="002D27DC" w:rsidRPr="006243B7" w:rsidRDefault="005371E7" w:rsidP="002D27DC">
      <w:pPr>
        <w:ind w:left="720" w:hanging="360"/>
      </w:pPr>
      <w:r>
        <w:t>b.</w:t>
      </w:r>
      <w:r>
        <w:tab/>
      </w:r>
      <w:r w:rsidR="002D27DC" w:rsidRPr="006243B7">
        <w:t xml:space="preserve">The following information shall be recorded, initialed, and maintained in a log at the facility for a period not less than </w:t>
      </w:r>
      <w:r w:rsidR="002D27DC">
        <w:t>three</w:t>
      </w:r>
      <w:r w:rsidR="002D27DC" w:rsidRPr="006243B7">
        <w:t xml:space="preserve"> (</w:t>
      </w:r>
      <w:r w:rsidR="002D27DC">
        <w:t>3) years [</w:t>
      </w:r>
      <w:r w:rsidR="002D27DC" w:rsidRPr="006243B7">
        <w:t>20 DCMR 500.</w:t>
      </w:r>
      <w:r w:rsidR="002D27DC" w:rsidRPr="0067799D">
        <w:t xml:space="preserve"> </w:t>
      </w:r>
      <w:r w:rsidR="002D27DC" w:rsidRPr="006243B7">
        <w:t>8]:</w:t>
      </w:r>
    </w:p>
    <w:p w:rsidR="002D27DC" w:rsidRDefault="002D27DC" w:rsidP="002D27DC">
      <w:pPr>
        <w:ind w:left="1080" w:hanging="360"/>
      </w:pPr>
    </w:p>
    <w:p w:rsidR="002D27DC" w:rsidRDefault="005371E7" w:rsidP="002D27DC">
      <w:pPr>
        <w:ind w:left="1080" w:hanging="360"/>
      </w:pPr>
      <w:r>
        <w:t>1</w:t>
      </w:r>
      <w:r w:rsidR="002D27DC" w:rsidRPr="00832259">
        <w:t>.</w:t>
      </w:r>
      <w:r w:rsidR="002D27DC" w:rsidRPr="00832259">
        <w:tab/>
      </w:r>
      <w:r w:rsidR="002D27DC">
        <w:t xml:space="preserve">Records </w:t>
      </w:r>
      <w:r w:rsidR="002D27DC" w:rsidRPr="005104C8">
        <w:t>of the results of any visible emissions monitoring performed</w:t>
      </w:r>
      <w:r w:rsidR="001B63FC">
        <w:t xml:space="preserve"> in accordance with Condition IV</w:t>
      </w:r>
      <w:r>
        <w:t>(</w:t>
      </w:r>
      <w:r w:rsidR="006464F7">
        <w:t>c</w:t>
      </w:r>
      <w:proofErr w:type="gramStart"/>
      <w:r w:rsidR="001B63FC">
        <w:t>)</w:t>
      </w:r>
      <w:r>
        <w:t>(</w:t>
      </w:r>
      <w:proofErr w:type="gramEnd"/>
      <w:r>
        <w:t>1)</w:t>
      </w:r>
      <w:r w:rsidR="002D27DC" w:rsidRPr="00B92CD1">
        <w:t xml:space="preserve">; </w:t>
      </w:r>
    </w:p>
    <w:p w:rsidR="005371E7" w:rsidRDefault="005371E7" w:rsidP="002D27DC">
      <w:pPr>
        <w:ind w:left="1080" w:hanging="360"/>
      </w:pPr>
    </w:p>
    <w:p w:rsidR="005371E7" w:rsidRDefault="005371E7" w:rsidP="002D27DC">
      <w:pPr>
        <w:ind w:left="1080" w:hanging="360"/>
      </w:pPr>
      <w:r>
        <w:t>2.</w:t>
      </w:r>
      <w:r>
        <w:tab/>
        <w:t xml:space="preserve">Records of the actions taken to correct any problems resulting in deviations from the requirements of Conditions </w:t>
      </w:r>
      <w:proofErr w:type="gramStart"/>
      <w:r>
        <w:t>II(</w:t>
      </w:r>
      <w:proofErr w:type="gramEnd"/>
      <w:r>
        <w:t>b) and (c);</w:t>
      </w:r>
    </w:p>
    <w:p w:rsidR="001B63FC" w:rsidRDefault="001B63FC" w:rsidP="002D27DC">
      <w:pPr>
        <w:ind w:left="1080" w:hanging="360"/>
      </w:pPr>
    </w:p>
    <w:p w:rsidR="001B63FC" w:rsidRDefault="001B63FC" w:rsidP="002D27DC">
      <w:pPr>
        <w:ind w:left="1080" w:hanging="360"/>
      </w:pPr>
      <w:r>
        <w:t>3.</w:t>
      </w:r>
      <w:r>
        <w:tab/>
        <w:t>Records of the monitoring actions performed i</w:t>
      </w:r>
      <w:r w:rsidR="006464F7">
        <w:t>n accordance with Condition IV(c</w:t>
      </w:r>
      <w:r>
        <w:t>);</w:t>
      </w:r>
    </w:p>
    <w:p w:rsidR="00F3634C" w:rsidRDefault="00F3634C" w:rsidP="00F3634C"/>
    <w:p w:rsidR="005371E7" w:rsidRDefault="005371E7" w:rsidP="005371E7">
      <w:pPr>
        <w:ind w:left="1080" w:hanging="360"/>
      </w:pPr>
      <w:r>
        <w:t>4.</w:t>
      </w:r>
      <w:r>
        <w:tab/>
        <w:t xml:space="preserve">Records of all fuel purchases for the units to document compliance with Condition </w:t>
      </w:r>
      <w:proofErr w:type="gramStart"/>
      <w:r>
        <w:t>III(</w:t>
      </w:r>
      <w:proofErr w:type="gramEnd"/>
      <w:r>
        <w:t>a) of the permit and to enable calculation of emissions from the units upon request;</w:t>
      </w:r>
    </w:p>
    <w:p w:rsidR="005527CE" w:rsidRPr="005527CE" w:rsidRDefault="005527CE" w:rsidP="005527CE">
      <w:pPr>
        <w:pStyle w:val="ListParagraph"/>
        <w:ind w:left="1080"/>
      </w:pPr>
    </w:p>
    <w:p w:rsidR="005527CE" w:rsidRDefault="005527CE" w:rsidP="00F3634C">
      <w:pPr>
        <w:pStyle w:val="ListParagraph"/>
        <w:numPr>
          <w:ilvl w:val="0"/>
          <w:numId w:val="16"/>
        </w:numPr>
      </w:pPr>
      <w:r w:rsidRPr="005104C8">
        <w:t>Records of the occurrence and duration of each malfunction of operation; and</w:t>
      </w:r>
      <w:r w:rsidRPr="00832259">
        <w:tab/>
      </w:r>
    </w:p>
    <w:p w:rsidR="005527CE" w:rsidRPr="00832259" w:rsidRDefault="005527CE" w:rsidP="005527CE">
      <w:pPr>
        <w:pStyle w:val="ListParagraph"/>
      </w:pPr>
    </w:p>
    <w:p w:rsidR="005527CE" w:rsidRDefault="00F3634C" w:rsidP="005527CE">
      <w:pPr>
        <w:ind w:left="1080" w:hanging="360"/>
      </w:pPr>
      <w:r>
        <w:t>6</w:t>
      </w:r>
      <w:r w:rsidR="005527CE">
        <w:t>.</w:t>
      </w:r>
      <w:r w:rsidR="005527CE">
        <w:tab/>
      </w:r>
      <w:r w:rsidR="005527CE" w:rsidRPr="005104C8">
        <w:t>Records of the actions taken during periods of malfunction to minimize emissions, including corrective actions to restore malfunction</w:t>
      </w:r>
      <w:r w:rsidR="005371E7">
        <w:t>ing</w:t>
      </w:r>
      <w:r w:rsidR="005527CE" w:rsidRPr="005104C8">
        <w:t xml:space="preserve"> process and air pollution control and monitoring equipment to its normal or usual manner of operation.</w:t>
      </w:r>
    </w:p>
    <w:p w:rsidR="0066238A" w:rsidRDefault="0066238A" w:rsidP="00564065"/>
    <w:p w:rsidR="00564065" w:rsidRPr="006243B7" w:rsidRDefault="00564065" w:rsidP="00564065">
      <w:r w:rsidRPr="006243B7">
        <w:t>If you have any questions, please call me at (202) 535-1747</w:t>
      </w:r>
      <w:r>
        <w:t xml:space="preserve"> or John C. </w:t>
      </w:r>
      <w:proofErr w:type="spellStart"/>
      <w:r>
        <w:t>Nwoke</w:t>
      </w:r>
      <w:proofErr w:type="spellEnd"/>
      <w:r>
        <w:t xml:space="preserv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14"/>
      <w:footerReference w:type="default" r:id="rId15"/>
      <w:headerReference w:type="first" r:id="rId16"/>
      <w:footerReference w:type="first" r:id="rId17"/>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A0" w:rsidRDefault="006422A0">
      <w:r>
        <w:separator/>
      </w:r>
    </w:p>
  </w:endnote>
  <w:endnote w:type="continuationSeparator" w:id="0">
    <w:p w:rsidR="006422A0" w:rsidRDefault="006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A0" w:rsidRDefault="006422A0">
      <w:r>
        <w:separator/>
      </w:r>
    </w:p>
  </w:footnote>
  <w:footnote w:type="continuationSeparator" w:id="0">
    <w:p w:rsidR="006422A0" w:rsidRDefault="0064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B46F61" w:rsidP="00DC1B14">
    <w:pPr>
      <w:pStyle w:val="Header"/>
      <w:rPr>
        <w:b/>
      </w:rPr>
    </w:pPr>
    <w:r>
      <w:rPr>
        <w:b/>
      </w:rPr>
      <w:t>National Archives and Records Administration</w:t>
    </w:r>
    <w:r w:rsidR="008827ED">
      <w:rPr>
        <w:b/>
      </w:rPr>
      <w:t xml:space="preserve"> </w:t>
    </w:r>
  </w:p>
  <w:p w:rsidR="00DC1B14" w:rsidRPr="001A1259" w:rsidRDefault="00DC1B14" w:rsidP="00DC1B14">
    <w:pPr>
      <w:pStyle w:val="Header"/>
      <w:rPr>
        <w:b/>
      </w:rPr>
    </w:pPr>
    <w:r>
      <w:rPr>
        <w:b/>
      </w:rPr>
      <w:t>Permit</w:t>
    </w:r>
    <w:r w:rsidRPr="001A1259">
      <w:rPr>
        <w:b/>
      </w:rPr>
      <w:t xml:space="preserve"> </w:t>
    </w:r>
    <w:r w:rsidR="00B46F61">
      <w:rPr>
        <w:b/>
      </w:rPr>
      <w:t>No</w:t>
    </w:r>
    <w:r w:rsidR="006B3601">
      <w:rPr>
        <w:b/>
      </w:rPr>
      <w:t>s</w:t>
    </w:r>
    <w:r w:rsidR="008827ED">
      <w:rPr>
        <w:b/>
      </w:rPr>
      <w:t xml:space="preserve">. </w:t>
    </w:r>
    <w:r w:rsidR="00B46F61">
      <w:rPr>
        <w:b/>
      </w:rPr>
      <w:t>6344-R1</w:t>
    </w:r>
    <w:r>
      <w:rPr>
        <w:b/>
      </w:rPr>
      <w:t xml:space="preserve"> and </w:t>
    </w:r>
    <w:r w:rsidR="00B46F61">
      <w:rPr>
        <w:b/>
      </w:rPr>
      <w:t>6345-R1</w:t>
    </w:r>
    <w:r>
      <w:rPr>
        <w:b/>
      </w:rPr>
      <w:t xml:space="preserve"> </w:t>
    </w:r>
    <w:r w:rsidRPr="001A1259">
      <w:rPr>
        <w:b/>
      </w:rPr>
      <w:t xml:space="preserve">to </w:t>
    </w:r>
    <w:r>
      <w:rPr>
        <w:b/>
      </w:rPr>
      <w:t>Operate</w:t>
    </w:r>
    <w:r w:rsidR="00B9461D">
      <w:rPr>
        <w:b/>
      </w:rPr>
      <w:t xml:space="preserve"> Two </w:t>
    </w:r>
    <w:r w:rsidR="00B46F61">
      <w:rPr>
        <w:b/>
      </w:rPr>
      <w:t>Natural Gas-Fired Generators</w:t>
    </w:r>
  </w:p>
  <w:p w:rsidR="00564065" w:rsidRDefault="005371E7" w:rsidP="00564065">
    <w:pPr>
      <w:pStyle w:val="Header"/>
    </w:pPr>
    <w:r>
      <w:t>S</w:t>
    </w:r>
    <w:r w:rsidR="006464F7">
      <w:t>eptember 4</w:t>
    </w:r>
    <w:r w:rsidR="006B3601">
      <w:t>, 2019</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E5287B">
      <w:rPr>
        <w:noProof/>
      </w:rPr>
      <w:t>8</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DE04D87"/>
    <w:multiLevelType w:val="multilevel"/>
    <w:tmpl w:val="CD82ACF2"/>
    <w:lvl w:ilvl="0">
      <w:start w:val="1"/>
      <w:numFmt w:val="upperRoman"/>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E27A1"/>
    <w:multiLevelType w:val="hybridMultilevel"/>
    <w:tmpl w:val="CC94D08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3042183"/>
    <w:multiLevelType w:val="hybridMultilevel"/>
    <w:tmpl w:val="D7FECEEA"/>
    <w:lvl w:ilvl="0" w:tplc="F68CE5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2F40EA"/>
    <w:multiLevelType w:val="hybridMultilevel"/>
    <w:tmpl w:val="4A38A564"/>
    <w:lvl w:ilvl="0" w:tplc="F68CE5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116DC9"/>
    <w:multiLevelType w:val="hybridMultilevel"/>
    <w:tmpl w:val="EABA6F3A"/>
    <w:lvl w:ilvl="0" w:tplc="C5CC9F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3711E"/>
    <w:multiLevelType w:val="hybridMultilevel"/>
    <w:tmpl w:val="93860C22"/>
    <w:lvl w:ilvl="0" w:tplc="1CBCE2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13"/>
  </w:num>
  <w:num w:numId="6">
    <w:abstractNumId w:val="4"/>
  </w:num>
  <w:num w:numId="7">
    <w:abstractNumId w:val="6"/>
  </w:num>
  <w:num w:numId="8">
    <w:abstractNumId w:val="9"/>
  </w:num>
  <w:num w:numId="9">
    <w:abstractNumId w:val="14"/>
  </w:num>
  <w:num w:numId="10">
    <w:abstractNumId w:val="15"/>
  </w:num>
  <w:num w:numId="11">
    <w:abstractNumId w:val="0"/>
  </w:num>
  <w:num w:numId="12">
    <w:abstractNumId w:val="10"/>
  </w:num>
  <w:num w:numId="13">
    <w:abstractNumId w:val="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3DEE"/>
    <w:rsid w:val="00024F87"/>
    <w:rsid w:val="000347C2"/>
    <w:rsid w:val="00042788"/>
    <w:rsid w:val="0005177E"/>
    <w:rsid w:val="00071F3B"/>
    <w:rsid w:val="000844BE"/>
    <w:rsid w:val="000938C8"/>
    <w:rsid w:val="000A4B16"/>
    <w:rsid w:val="000B01CA"/>
    <w:rsid w:val="000D718B"/>
    <w:rsid w:val="00110D20"/>
    <w:rsid w:val="00110F98"/>
    <w:rsid w:val="001146D1"/>
    <w:rsid w:val="00117635"/>
    <w:rsid w:val="00124F79"/>
    <w:rsid w:val="0013210D"/>
    <w:rsid w:val="00136B8D"/>
    <w:rsid w:val="00157D06"/>
    <w:rsid w:val="00177B6C"/>
    <w:rsid w:val="00183F16"/>
    <w:rsid w:val="001A2D01"/>
    <w:rsid w:val="001B098D"/>
    <w:rsid w:val="001B63FC"/>
    <w:rsid w:val="001E26E4"/>
    <w:rsid w:val="001F61B4"/>
    <w:rsid w:val="00226D48"/>
    <w:rsid w:val="00244A21"/>
    <w:rsid w:val="00271FB2"/>
    <w:rsid w:val="002908A0"/>
    <w:rsid w:val="002924A5"/>
    <w:rsid w:val="002A72A0"/>
    <w:rsid w:val="002A7EB0"/>
    <w:rsid w:val="002B1D56"/>
    <w:rsid w:val="002C6660"/>
    <w:rsid w:val="002D0497"/>
    <w:rsid w:val="002D27DC"/>
    <w:rsid w:val="002E239A"/>
    <w:rsid w:val="002E37D1"/>
    <w:rsid w:val="003002A7"/>
    <w:rsid w:val="0030116A"/>
    <w:rsid w:val="003044C6"/>
    <w:rsid w:val="00355520"/>
    <w:rsid w:val="00367167"/>
    <w:rsid w:val="00367CDF"/>
    <w:rsid w:val="00377959"/>
    <w:rsid w:val="00391EC6"/>
    <w:rsid w:val="003A0C66"/>
    <w:rsid w:val="003B2CC6"/>
    <w:rsid w:val="003C1530"/>
    <w:rsid w:val="003C233D"/>
    <w:rsid w:val="003D2890"/>
    <w:rsid w:val="0045064C"/>
    <w:rsid w:val="00451564"/>
    <w:rsid w:val="00452CED"/>
    <w:rsid w:val="00460225"/>
    <w:rsid w:val="00462A6E"/>
    <w:rsid w:val="00482725"/>
    <w:rsid w:val="004A1250"/>
    <w:rsid w:val="004C41B1"/>
    <w:rsid w:val="004D1B50"/>
    <w:rsid w:val="004E321C"/>
    <w:rsid w:val="004F7D23"/>
    <w:rsid w:val="00501FC1"/>
    <w:rsid w:val="00507F38"/>
    <w:rsid w:val="00516331"/>
    <w:rsid w:val="00523832"/>
    <w:rsid w:val="00525252"/>
    <w:rsid w:val="005371E7"/>
    <w:rsid w:val="00537EBB"/>
    <w:rsid w:val="0054549A"/>
    <w:rsid w:val="005527CE"/>
    <w:rsid w:val="00561103"/>
    <w:rsid w:val="00564065"/>
    <w:rsid w:val="0056640B"/>
    <w:rsid w:val="0057729C"/>
    <w:rsid w:val="00593083"/>
    <w:rsid w:val="005A2EC4"/>
    <w:rsid w:val="005C1384"/>
    <w:rsid w:val="005C56C9"/>
    <w:rsid w:val="005D2B8D"/>
    <w:rsid w:val="005E24D0"/>
    <w:rsid w:val="005E2B54"/>
    <w:rsid w:val="0061080C"/>
    <w:rsid w:val="00611758"/>
    <w:rsid w:val="00617DC2"/>
    <w:rsid w:val="006422A0"/>
    <w:rsid w:val="006464F7"/>
    <w:rsid w:val="006527CA"/>
    <w:rsid w:val="00653218"/>
    <w:rsid w:val="006542C9"/>
    <w:rsid w:val="0066238A"/>
    <w:rsid w:val="006764AE"/>
    <w:rsid w:val="00694B0B"/>
    <w:rsid w:val="006A0EF5"/>
    <w:rsid w:val="006B3601"/>
    <w:rsid w:val="006C20A5"/>
    <w:rsid w:val="006C2AE5"/>
    <w:rsid w:val="006D1EB5"/>
    <w:rsid w:val="007011CB"/>
    <w:rsid w:val="00704174"/>
    <w:rsid w:val="0071289B"/>
    <w:rsid w:val="00723B5D"/>
    <w:rsid w:val="0073637C"/>
    <w:rsid w:val="00737C82"/>
    <w:rsid w:val="0075578D"/>
    <w:rsid w:val="00774F01"/>
    <w:rsid w:val="00785ED5"/>
    <w:rsid w:val="007A6215"/>
    <w:rsid w:val="007A7583"/>
    <w:rsid w:val="007B18E8"/>
    <w:rsid w:val="007B677C"/>
    <w:rsid w:val="007B6F40"/>
    <w:rsid w:val="007B7DDD"/>
    <w:rsid w:val="007E529D"/>
    <w:rsid w:val="007E680E"/>
    <w:rsid w:val="007F35DA"/>
    <w:rsid w:val="0081595A"/>
    <w:rsid w:val="0082065A"/>
    <w:rsid w:val="008258F6"/>
    <w:rsid w:val="00833C45"/>
    <w:rsid w:val="00850C80"/>
    <w:rsid w:val="00871689"/>
    <w:rsid w:val="00876356"/>
    <w:rsid w:val="008827ED"/>
    <w:rsid w:val="00882CD3"/>
    <w:rsid w:val="008942D0"/>
    <w:rsid w:val="008943ED"/>
    <w:rsid w:val="00897D38"/>
    <w:rsid w:val="008A33C6"/>
    <w:rsid w:val="008B31B3"/>
    <w:rsid w:val="008B5A88"/>
    <w:rsid w:val="008B769D"/>
    <w:rsid w:val="008C623E"/>
    <w:rsid w:val="008C7A19"/>
    <w:rsid w:val="008D01B0"/>
    <w:rsid w:val="008D399E"/>
    <w:rsid w:val="008D4ECE"/>
    <w:rsid w:val="008E0BA3"/>
    <w:rsid w:val="008F1F02"/>
    <w:rsid w:val="00901812"/>
    <w:rsid w:val="00917C51"/>
    <w:rsid w:val="009224EE"/>
    <w:rsid w:val="009247DE"/>
    <w:rsid w:val="00933B6A"/>
    <w:rsid w:val="00964562"/>
    <w:rsid w:val="00964C32"/>
    <w:rsid w:val="0097063A"/>
    <w:rsid w:val="00970EE1"/>
    <w:rsid w:val="00975DF9"/>
    <w:rsid w:val="009813D6"/>
    <w:rsid w:val="009909FA"/>
    <w:rsid w:val="009A1CA4"/>
    <w:rsid w:val="009A2249"/>
    <w:rsid w:val="009A3A47"/>
    <w:rsid w:val="009B0147"/>
    <w:rsid w:val="009B0D9E"/>
    <w:rsid w:val="009B1F07"/>
    <w:rsid w:val="009B4082"/>
    <w:rsid w:val="009B5736"/>
    <w:rsid w:val="009C06D1"/>
    <w:rsid w:val="009D04BA"/>
    <w:rsid w:val="009D2BC4"/>
    <w:rsid w:val="009D5D5D"/>
    <w:rsid w:val="009E5B4A"/>
    <w:rsid w:val="00A147AA"/>
    <w:rsid w:val="00A17E11"/>
    <w:rsid w:val="00A25BF7"/>
    <w:rsid w:val="00A32201"/>
    <w:rsid w:val="00A327F2"/>
    <w:rsid w:val="00A328B1"/>
    <w:rsid w:val="00A35222"/>
    <w:rsid w:val="00A36A6B"/>
    <w:rsid w:val="00A375E2"/>
    <w:rsid w:val="00A405D7"/>
    <w:rsid w:val="00A40834"/>
    <w:rsid w:val="00A47251"/>
    <w:rsid w:val="00A533B7"/>
    <w:rsid w:val="00A67445"/>
    <w:rsid w:val="00A779B6"/>
    <w:rsid w:val="00A8483C"/>
    <w:rsid w:val="00A8624D"/>
    <w:rsid w:val="00A90053"/>
    <w:rsid w:val="00A94AA8"/>
    <w:rsid w:val="00AA625A"/>
    <w:rsid w:val="00AA63DD"/>
    <w:rsid w:val="00AB1F9A"/>
    <w:rsid w:val="00AC1D0B"/>
    <w:rsid w:val="00AD261D"/>
    <w:rsid w:val="00AD6C15"/>
    <w:rsid w:val="00AE0665"/>
    <w:rsid w:val="00AE347F"/>
    <w:rsid w:val="00AF1F64"/>
    <w:rsid w:val="00B060E6"/>
    <w:rsid w:val="00B07BD3"/>
    <w:rsid w:val="00B12FFC"/>
    <w:rsid w:val="00B22831"/>
    <w:rsid w:val="00B249A6"/>
    <w:rsid w:val="00B26DCC"/>
    <w:rsid w:val="00B331FC"/>
    <w:rsid w:val="00B37380"/>
    <w:rsid w:val="00B46F61"/>
    <w:rsid w:val="00B576E1"/>
    <w:rsid w:val="00B57DAE"/>
    <w:rsid w:val="00B60BA7"/>
    <w:rsid w:val="00B63B92"/>
    <w:rsid w:val="00B86E37"/>
    <w:rsid w:val="00B87ED0"/>
    <w:rsid w:val="00B9461D"/>
    <w:rsid w:val="00BA6A2E"/>
    <w:rsid w:val="00BA7B16"/>
    <w:rsid w:val="00BC1676"/>
    <w:rsid w:val="00BD5B8E"/>
    <w:rsid w:val="00BD5E57"/>
    <w:rsid w:val="00BE4EC3"/>
    <w:rsid w:val="00BF45D3"/>
    <w:rsid w:val="00C00FF9"/>
    <w:rsid w:val="00C0764F"/>
    <w:rsid w:val="00C17239"/>
    <w:rsid w:val="00C20B84"/>
    <w:rsid w:val="00C20D88"/>
    <w:rsid w:val="00C227B4"/>
    <w:rsid w:val="00C4725D"/>
    <w:rsid w:val="00C55697"/>
    <w:rsid w:val="00C60895"/>
    <w:rsid w:val="00C672D1"/>
    <w:rsid w:val="00C74823"/>
    <w:rsid w:val="00C755AB"/>
    <w:rsid w:val="00C86776"/>
    <w:rsid w:val="00CC77D1"/>
    <w:rsid w:val="00CC77E5"/>
    <w:rsid w:val="00CD3BD5"/>
    <w:rsid w:val="00CD6C94"/>
    <w:rsid w:val="00CE5B65"/>
    <w:rsid w:val="00CF136A"/>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89C"/>
    <w:rsid w:val="00DC5687"/>
    <w:rsid w:val="00DD72E6"/>
    <w:rsid w:val="00DE7803"/>
    <w:rsid w:val="00DF19CD"/>
    <w:rsid w:val="00E00189"/>
    <w:rsid w:val="00E20183"/>
    <w:rsid w:val="00E5287B"/>
    <w:rsid w:val="00E54043"/>
    <w:rsid w:val="00E54C82"/>
    <w:rsid w:val="00E60579"/>
    <w:rsid w:val="00E727DF"/>
    <w:rsid w:val="00E87306"/>
    <w:rsid w:val="00E913E0"/>
    <w:rsid w:val="00E92CC7"/>
    <w:rsid w:val="00EA4DF0"/>
    <w:rsid w:val="00EB170B"/>
    <w:rsid w:val="00EB39E5"/>
    <w:rsid w:val="00EB494E"/>
    <w:rsid w:val="00ED0CC4"/>
    <w:rsid w:val="00EE26C1"/>
    <w:rsid w:val="00EE3BEE"/>
    <w:rsid w:val="00F03133"/>
    <w:rsid w:val="00F0380E"/>
    <w:rsid w:val="00F04990"/>
    <w:rsid w:val="00F10F68"/>
    <w:rsid w:val="00F151E6"/>
    <w:rsid w:val="00F205C0"/>
    <w:rsid w:val="00F251EB"/>
    <w:rsid w:val="00F3634C"/>
    <w:rsid w:val="00F4133E"/>
    <w:rsid w:val="00F47A1F"/>
    <w:rsid w:val="00F5317B"/>
    <w:rsid w:val="00F70EC2"/>
    <w:rsid w:val="00F80D46"/>
    <w:rsid w:val="00F81C85"/>
    <w:rsid w:val="00F92088"/>
    <w:rsid w:val="00FA350A"/>
    <w:rsid w:val="00FA7278"/>
    <w:rsid w:val="00FD6763"/>
    <w:rsid w:val="00FE0FB2"/>
    <w:rsid w:val="00FF4AF0"/>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BodyTextIndent2">
    <w:name w:val="Body Text Indent 2"/>
    <w:basedOn w:val="Normal"/>
    <w:link w:val="BodyTextIndent2Char"/>
    <w:rsid w:val="005371E7"/>
    <w:pPr>
      <w:spacing w:after="120" w:line="480" w:lineRule="auto"/>
      <w:ind w:left="360"/>
    </w:pPr>
  </w:style>
  <w:style w:type="character" w:customStyle="1" w:styleId="BodyTextIndent2Char">
    <w:name w:val="Body Text Indent 2 Char"/>
    <w:basedOn w:val="DefaultParagraphFont"/>
    <w:link w:val="BodyTextIndent2"/>
    <w:rsid w:val="005371E7"/>
    <w:rPr>
      <w:sz w:val="24"/>
      <w:szCs w:val="24"/>
    </w:rPr>
  </w:style>
  <w:style w:type="paragraph" w:styleId="BodyTextIndent">
    <w:name w:val="Body Text Indent"/>
    <w:basedOn w:val="Normal"/>
    <w:link w:val="BodyTextIndentChar"/>
    <w:rsid w:val="005371E7"/>
    <w:pPr>
      <w:spacing w:after="120"/>
      <w:ind w:left="360"/>
    </w:pPr>
  </w:style>
  <w:style w:type="character" w:customStyle="1" w:styleId="BodyTextIndentChar">
    <w:name w:val="Body Text Indent Char"/>
    <w:basedOn w:val="DefaultParagraphFont"/>
    <w:link w:val="BodyTextIndent"/>
    <w:rsid w:val="005371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BodyTextIndent2">
    <w:name w:val="Body Text Indent 2"/>
    <w:basedOn w:val="Normal"/>
    <w:link w:val="BodyTextIndent2Char"/>
    <w:rsid w:val="005371E7"/>
    <w:pPr>
      <w:spacing w:after="120" w:line="480" w:lineRule="auto"/>
      <w:ind w:left="360"/>
    </w:pPr>
  </w:style>
  <w:style w:type="character" w:customStyle="1" w:styleId="BodyTextIndent2Char">
    <w:name w:val="Body Text Indent 2 Char"/>
    <w:basedOn w:val="DefaultParagraphFont"/>
    <w:link w:val="BodyTextIndent2"/>
    <w:rsid w:val="005371E7"/>
    <w:rPr>
      <w:sz w:val="24"/>
      <w:szCs w:val="24"/>
    </w:rPr>
  </w:style>
  <w:style w:type="paragraph" w:styleId="BodyTextIndent">
    <w:name w:val="Body Text Indent"/>
    <w:basedOn w:val="Normal"/>
    <w:link w:val="BodyTextIndentChar"/>
    <w:rsid w:val="005371E7"/>
    <w:pPr>
      <w:spacing w:after="120"/>
      <w:ind w:left="360"/>
    </w:pPr>
  </w:style>
  <w:style w:type="character" w:customStyle="1" w:styleId="BodyTextIndentChar">
    <w:name w:val="Body Text Indent Char"/>
    <w:basedOn w:val="DefaultParagraphFont"/>
    <w:link w:val="BodyTextIndent"/>
    <w:rsid w:val="00537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16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84146193">
      <w:bodyDiv w:val="1"/>
      <w:marLeft w:val="0"/>
      <w:marRight w:val="0"/>
      <w:marTop w:val="0"/>
      <w:marBottom w:val="0"/>
      <w:divBdr>
        <w:top w:val="none" w:sz="0" w:space="0" w:color="auto"/>
        <w:left w:val="none" w:sz="0" w:space="0" w:color="auto"/>
        <w:bottom w:val="none" w:sz="0" w:space="0" w:color="auto"/>
        <w:right w:val="none" w:sz="0" w:space="0" w:color="auto"/>
      </w:divBdr>
    </w:div>
    <w:div w:id="8857252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364</TotalTime>
  <Pages>8</Pages>
  <Words>2581</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16217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6</cp:revision>
  <cp:lastPrinted>2017-07-24T13:11:00Z</cp:lastPrinted>
  <dcterms:created xsi:type="dcterms:W3CDTF">2019-06-25T13:33:00Z</dcterms:created>
  <dcterms:modified xsi:type="dcterms:W3CDTF">2019-07-25T14:44:00Z</dcterms:modified>
</cp:coreProperties>
</file>