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D5F4" w14:textId="77777777" w:rsidR="00933B6A" w:rsidRDefault="00933B6A" w:rsidP="00933B6A">
      <w:pPr>
        <w:pStyle w:val="Header"/>
        <w:tabs>
          <w:tab w:val="clear" w:pos="4320"/>
          <w:tab w:val="clear" w:pos="8640"/>
          <w:tab w:val="left" w:pos="6810"/>
        </w:tabs>
      </w:pPr>
    </w:p>
    <w:p w14:paraId="1842E5EF" w14:textId="54D5447A" w:rsidR="00933B6A" w:rsidRDefault="00C82D38" w:rsidP="00933B6A">
      <w:r>
        <w:t>May 23, 2023</w:t>
      </w:r>
      <w:r w:rsidR="006B3601">
        <w:t>, 20</w:t>
      </w:r>
      <w:r w:rsidR="006A7769">
        <w:t>23</w:t>
      </w:r>
    </w:p>
    <w:p w14:paraId="597BB1B4" w14:textId="77777777" w:rsidR="006464F7" w:rsidRDefault="006464F7" w:rsidP="00482725"/>
    <w:p w14:paraId="795D22D9" w14:textId="21B17F3C" w:rsidR="00482725" w:rsidRDefault="006A7769" w:rsidP="00482725">
      <w:r>
        <w:t>Dominic Lacy</w:t>
      </w:r>
    </w:p>
    <w:p w14:paraId="050EE495" w14:textId="46FE3797" w:rsidR="00933B6A" w:rsidRDefault="006A7769" w:rsidP="00482725">
      <w:r>
        <w:t>C</w:t>
      </w:r>
      <w:r w:rsidR="00E97D4A">
        <w:t xml:space="preserve">hief </w:t>
      </w:r>
      <w:r>
        <w:t>O</w:t>
      </w:r>
      <w:r w:rsidR="00E97D4A">
        <w:t xml:space="preserve">perating </w:t>
      </w:r>
      <w:r>
        <w:t>O</w:t>
      </w:r>
      <w:r w:rsidR="00E97D4A">
        <w:t>fficer</w:t>
      </w:r>
    </w:p>
    <w:p w14:paraId="2763E473" w14:textId="605317E3" w:rsidR="00933B6A" w:rsidRDefault="006A7769" w:rsidP="00482725">
      <w:r>
        <w:t>Gallaudet University</w:t>
      </w:r>
    </w:p>
    <w:p w14:paraId="3E3FCBB8" w14:textId="549FFDF4" w:rsidR="00933B6A" w:rsidRDefault="006A7769" w:rsidP="00482725">
      <w:r>
        <w:t>8</w:t>
      </w:r>
      <w:r w:rsidR="00933B6A">
        <w:t xml:space="preserve">00 </w:t>
      </w:r>
      <w:r>
        <w:t>Florida Avenue</w:t>
      </w:r>
      <w:r w:rsidR="00933B6A">
        <w:t xml:space="preserve"> N</w:t>
      </w:r>
      <w:r>
        <w:t>E</w:t>
      </w:r>
    </w:p>
    <w:p w14:paraId="307737AC" w14:textId="0092754A" w:rsidR="00933B6A" w:rsidRDefault="00933B6A" w:rsidP="00482725">
      <w:r>
        <w:t>Washington, DC 20</w:t>
      </w:r>
      <w:r w:rsidR="007C73F2">
        <w:t>002</w:t>
      </w:r>
    </w:p>
    <w:p w14:paraId="689F958D" w14:textId="77777777" w:rsidR="00564065" w:rsidRDefault="00564065" w:rsidP="00564065">
      <w:pPr>
        <w:rPr>
          <w:b/>
          <w:bCs/>
        </w:rPr>
      </w:pPr>
    </w:p>
    <w:p w14:paraId="4D393AC8" w14:textId="58FFF3FD" w:rsidR="00564065" w:rsidRPr="006243B7" w:rsidRDefault="00564065" w:rsidP="00AC1D0B">
      <w:pPr>
        <w:ind w:left="720" w:right="-90" w:hanging="720"/>
      </w:pPr>
      <w:r>
        <w:rPr>
          <w:b/>
          <w:bCs/>
        </w:rPr>
        <w:t>RE:</w:t>
      </w:r>
      <w:r w:rsidRPr="00D72CC2">
        <w:rPr>
          <w:b/>
          <w:bCs/>
        </w:rPr>
        <w:tab/>
        <w:t>Permit</w:t>
      </w:r>
      <w:r w:rsidR="008827ED">
        <w:rPr>
          <w:b/>
          <w:bCs/>
        </w:rPr>
        <w:t xml:space="preserve"> </w:t>
      </w:r>
      <w:r w:rsidR="0071289B">
        <w:rPr>
          <w:b/>
          <w:bCs/>
        </w:rPr>
        <w:t xml:space="preserve">Nos. </w:t>
      </w:r>
      <w:r w:rsidR="007C73F2">
        <w:rPr>
          <w:b/>
          <w:bCs/>
        </w:rPr>
        <w:t>7</w:t>
      </w:r>
      <w:r w:rsidR="002924A5">
        <w:rPr>
          <w:b/>
          <w:bCs/>
        </w:rPr>
        <w:t>3</w:t>
      </w:r>
      <w:r w:rsidR="007C73F2">
        <w:rPr>
          <w:b/>
          <w:bCs/>
        </w:rPr>
        <w:t>30, 7331</w:t>
      </w:r>
      <w:r w:rsidR="00A367BA">
        <w:rPr>
          <w:b/>
          <w:bCs/>
        </w:rPr>
        <w:t>,</w:t>
      </w:r>
      <w:r w:rsidR="00482725">
        <w:rPr>
          <w:b/>
          <w:bCs/>
        </w:rPr>
        <w:t xml:space="preserve"> and </w:t>
      </w:r>
      <w:r w:rsidR="007C73F2">
        <w:rPr>
          <w:b/>
          <w:bCs/>
        </w:rPr>
        <w:t>7332</w:t>
      </w:r>
      <w:r w:rsidR="00482725">
        <w:rPr>
          <w:b/>
          <w:bCs/>
        </w:rPr>
        <w:t xml:space="preserve"> </w:t>
      </w:r>
      <w:r w:rsidRPr="00D72CC2">
        <w:rPr>
          <w:b/>
          <w:bCs/>
        </w:rPr>
        <w:t xml:space="preserve">to </w:t>
      </w:r>
      <w:r w:rsidR="007C73F2">
        <w:rPr>
          <w:b/>
          <w:bCs/>
        </w:rPr>
        <w:t xml:space="preserve">Construct and </w:t>
      </w:r>
      <w:r w:rsidRPr="00D72CC2">
        <w:rPr>
          <w:b/>
          <w:bCs/>
        </w:rPr>
        <w:t xml:space="preserve">Operate </w:t>
      </w:r>
      <w:r w:rsidR="00A90053">
        <w:rPr>
          <w:b/>
          <w:bCs/>
        </w:rPr>
        <w:t>T</w:t>
      </w:r>
      <w:r w:rsidR="007C73F2">
        <w:rPr>
          <w:b/>
          <w:bCs/>
        </w:rPr>
        <w:t>hree</w:t>
      </w:r>
      <w:r>
        <w:rPr>
          <w:b/>
          <w:bCs/>
        </w:rPr>
        <w:t xml:space="preserve"> </w:t>
      </w:r>
      <w:r w:rsidR="002924A5">
        <w:rPr>
          <w:b/>
          <w:bCs/>
        </w:rPr>
        <w:t>Natural Gas</w:t>
      </w:r>
      <w:r w:rsidR="000B01CA">
        <w:rPr>
          <w:b/>
          <w:bCs/>
        </w:rPr>
        <w:t>-</w:t>
      </w:r>
      <w:r w:rsidR="002924A5">
        <w:rPr>
          <w:b/>
          <w:bCs/>
        </w:rPr>
        <w:t xml:space="preserve">Fired </w:t>
      </w:r>
      <w:r w:rsidR="00A367BA">
        <w:rPr>
          <w:b/>
          <w:bCs/>
        </w:rPr>
        <w:t>Internal Combustion Engine</w:t>
      </w:r>
      <w:r w:rsidR="00C82D38">
        <w:rPr>
          <w:b/>
          <w:bCs/>
        </w:rPr>
        <w:t>-Based</w:t>
      </w:r>
      <w:r w:rsidR="00A367BA">
        <w:rPr>
          <w:b/>
          <w:bCs/>
        </w:rPr>
        <w:t xml:space="preserve"> Combined Heat and Power (CHP) </w:t>
      </w:r>
      <w:r w:rsidR="00C82D38">
        <w:rPr>
          <w:b/>
          <w:bCs/>
        </w:rPr>
        <w:t>Units</w:t>
      </w:r>
      <w:r>
        <w:rPr>
          <w:b/>
          <w:bCs/>
        </w:rPr>
        <w:t xml:space="preserve"> </w:t>
      </w:r>
      <w:r w:rsidR="00901812">
        <w:rPr>
          <w:b/>
          <w:bCs/>
        </w:rPr>
        <w:t>at</w:t>
      </w:r>
      <w:r w:rsidR="002924A5">
        <w:rPr>
          <w:b/>
          <w:bCs/>
        </w:rPr>
        <w:t xml:space="preserve"> </w:t>
      </w:r>
      <w:r w:rsidR="007C73F2">
        <w:rPr>
          <w:b/>
          <w:bCs/>
        </w:rPr>
        <w:t>Gallaudet University, Central Utility Building</w:t>
      </w:r>
      <w:r w:rsidR="008827ED">
        <w:rPr>
          <w:b/>
          <w:bCs/>
        </w:rPr>
        <w:t xml:space="preserve">, </w:t>
      </w:r>
      <w:r w:rsidR="007C73F2">
        <w:rPr>
          <w:b/>
          <w:bCs/>
        </w:rPr>
        <w:t>8</w:t>
      </w:r>
      <w:r w:rsidR="002924A5">
        <w:rPr>
          <w:b/>
          <w:bCs/>
        </w:rPr>
        <w:t xml:space="preserve">00 </w:t>
      </w:r>
      <w:r w:rsidR="007C73F2">
        <w:rPr>
          <w:b/>
          <w:bCs/>
        </w:rPr>
        <w:t>Florida</w:t>
      </w:r>
      <w:r w:rsidR="002924A5">
        <w:rPr>
          <w:b/>
          <w:bCs/>
        </w:rPr>
        <w:t xml:space="preserve"> Avenue N</w:t>
      </w:r>
      <w:r w:rsidR="007C73F2">
        <w:rPr>
          <w:b/>
          <w:bCs/>
        </w:rPr>
        <w:t>E</w:t>
      </w:r>
      <w:r w:rsidR="002924A5">
        <w:rPr>
          <w:b/>
          <w:bCs/>
        </w:rPr>
        <w:t>, Washington, DC</w:t>
      </w:r>
    </w:p>
    <w:p w14:paraId="2790EE76" w14:textId="77777777" w:rsidR="00564065" w:rsidRPr="006243B7" w:rsidRDefault="00564065" w:rsidP="00564065"/>
    <w:p w14:paraId="7E18FC9B" w14:textId="481A9866" w:rsidR="00564065" w:rsidRPr="006243B7" w:rsidRDefault="00564065" w:rsidP="00564065">
      <w:r w:rsidRPr="006243B7">
        <w:t xml:space="preserve">Dear </w:t>
      </w:r>
      <w:r>
        <w:t xml:space="preserve">Mr. </w:t>
      </w:r>
      <w:r w:rsidR="008F5AAC">
        <w:t>Lacy</w:t>
      </w:r>
      <w:r w:rsidRPr="006243B7">
        <w:t>:</w:t>
      </w:r>
    </w:p>
    <w:p w14:paraId="1F9FBB0D" w14:textId="7F83C7AD" w:rsidR="00564065" w:rsidRPr="006243B7" w:rsidRDefault="00FE763F" w:rsidP="00564065">
      <w:pPr>
        <w:rPr>
          <w:rFonts w:ascii="Courier" w:hAnsi="Courier"/>
        </w:rPr>
      </w:pPr>
      <w:r>
        <w:rPr>
          <w:rFonts w:ascii="Courier" w:hAnsi="Courier"/>
        </w:rPr>
        <w:t xml:space="preserve"> </w:t>
      </w:r>
    </w:p>
    <w:p w14:paraId="6E58E7D6" w14:textId="65886951" w:rsidR="004E2D6B"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 and operate a</w:t>
      </w:r>
      <w:r w:rsidRPr="006243B7">
        <w:t xml:space="preserve"> stationary source in the District of Columbia. </w:t>
      </w:r>
      <w:r>
        <w:t>The application</w:t>
      </w:r>
      <w:r w:rsidR="00AC1D0B">
        <w:t>s</w:t>
      </w:r>
      <w:r>
        <w:t xml:space="preserve"> of </w:t>
      </w:r>
      <w:r w:rsidR="00FE763F">
        <w:t xml:space="preserve">Gallaudet University </w:t>
      </w:r>
      <w:r w:rsidR="00AC1D0B">
        <w:t>(</w:t>
      </w:r>
      <w:r w:rsidR="00024F87">
        <w:t>“</w:t>
      </w:r>
      <w:r w:rsidR="00AC1D0B">
        <w:t>the Permittee</w:t>
      </w:r>
      <w:r w:rsidR="00024F87">
        <w:t>”</w:t>
      </w:r>
      <w:r w:rsidR="00AC1D0B">
        <w:t xml:space="preserve">) </w:t>
      </w:r>
      <w:r w:rsidR="00A9395A">
        <w:t>to</w:t>
      </w:r>
      <w:r w:rsidR="00FE763F">
        <w:t xml:space="preserve"> construct and</w:t>
      </w:r>
      <w:r w:rsidR="00AC1D0B">
        <w:t xml:space="preserve"> operate </w:t>
      </w:r>
      <w:r w:rsidR="004E2D6B">
        <w:t xml:space="preserve">the </w:t>
      </w:r>
      <w:r w:rsidR="00FE763F">
        <w:t>three</w:t>
      </w:r>
      <w:r w:rsidR="00AC1D0B">
        <w:t xml:space="preserve"> (</w:t>
      </w:r>
      <w:r w:rsidR="00FE763F">
        <w:t>3</w:t>
      </w:r>
      <w:r w:rsidR="00AC1D0B">
        <w:t xml:space="preserve">) </w:t>
      </w:r>
      <w:r w:rsidR="00762AAE">
        <w:t xml:space="preserve">1.5 MWe </w:t>
      </w:r>
      <w:r w:rsidR="004E2D6B">
        <w:t xml:space="preserve">(1,500 kWe) combined heat and power (CHP) generation units, each powered by a 2,095 hp rated natural gas-fired </w:t>
      </w:r>
      <w:r w:rsidR="00DB1DF9">
        <w:t xml:space="preserve">Mitsubishi Engine North America </w:t>
      </w:r>
      <w:r w:rsidR="004E2D6B">
        <w:t>internal combustion engine</w:t>
      </w:r>
      <w:r w:rsidR="00750028">
        <w:t>, and whose emissions are controlled by a selective catalytic reduction (SCR) system</w:t>
      </w:r>
      <w:r w:rsidR="004E2D6B">
        <w:t xml:space="preserve">, at Gallaudet University, 800 Florida Avenue NE, Washington DC, as described below, have been reviewed: </w:t>
      </w:r>
    </w:p>
    <w:p w14:paraId="62839733" w14:textId="77777777" w:rsidR="0071289B" w:rsidRDefault="0071289B" w:rsidP="00564065">
      <w:pPr>
        <w:tabs>
          <w:tab w:val="center" w:pos="4680"/>
        </w:tabs>
      </w:pPr>
    </w:p>
    <w:tbl>
      <w:tblPr>
        <w:tblStyle w:val="TableGrid"/>
        <w:tblW w:w="9630" w:type="dxa"/>
        <w:tblInd w:w="-5" w:type="dxa"/>
        <w:tblLayout w:type="fixed"/>
        <w:tblLook w:val="04A0" w:firstRow="1" w:lastRow="0" w:firstColumn="1" w:lastColumn="0" w:noHBand="0" w:noVBand="1"/>
      </w:tblPr>
      <w:tblGrid>
        <w:gridCol w:w="2520"/>
        <w:gridCol w:w="1350"/>
        <w:gridCol w:w="1350"/>
        <w:gridCol w:w="1620"/>
        <w:gridCol w:w="1710"/>
        <w:gridCol w:w="1080"/>
      </w:tblGrid>
      <w:tr w:rsidR="00DB1DF9" w14:paraId="30CA7548" w14:textId="77777777" w:rsidTr="00DB1DF9">
        <w:tc>
          <w:tcPr>
            <w:tcW w:w="2520" w:type="dxa"/>
          </w:tcPr>
          <w:p w14:paraId="6D4C58EA" w14:textId="77777777" w:rsidR="00DB1DF9" w:rsidRPr="0071289B" w:rsidRDefault="00DB1DF9" w:rsidP="00A32201">
            <w:pPr>
              <w:tabs>
                <w:tab w:val="center" w:pos="4680"/>
              </w:tabs>
              <w:ind w:left="-18" w:firstLine="18"/>
              <w:jc w:val="center"/>
              <w:rPr>
                <w:b/>
              </w:rPr>
            </w:pPr>
            <w:r>
              <w:rPr>
                <w:b/>
              </w:rPr>
              <w:t>Equipment Location Address</w:t>
            </w:r>
          </w:p>
        </w:tc>
        <w:tc>
          <w:tcPr>
            <w:tcW w:w="1350" w:type="dxa"/>
          </w:tcPr>
          <w:p w14:paraId="24FBFD99" w14:textId="77777777" w:rsidR="00DB1DF9" w:rsidRPr="0071289B" w:rsidRDefault="00DB1DF9" w:rsidP="00DB1DF9">
            <w:pPr>
              <w:tabs>
                <w:tab w:val="center" w:pos="4680"/>
              </w:tabs>
              <w:ind w:left="-104" w:right="-105"/>
              <w:jc w:val="center"/>
              <w:rPr>
                <w:b/>
              </w:rPr>
            </w:pPr>
            <w:r>
              <w:rPr>
                <w:b/>
              </w:rPr>
              <w:t xml:space="preserve">Equipment </w:t>
            </w:r>
            <w:r w:rsidRPr="0071289B">
              <w:rPr>
                <w:b/>
              </w:rPr>
              <w:t>Name</w:t>
            </w:r>
          </w:p>
        </w:tc>
        <w:tc>
          <w:tcPr>
            <w:tcW w:w="1350" w:type="dxa"/>
          </w:tcPr>
          <w:p w14:paraId="723CA255" w14:textId="67DB8A3F" w:rsidR="00DB1DF9" w:rsidRPr="0071289B" w:rsidRDefault="00DB1DF9" w:rsidP="0071289B">
            <w:pPr>
              <w:tabs>
                <w:tab w:val="center" w:pos="4680"/>
              </w:tabs>
              <w:jc w:val="center"/>
              <w:rPr>
                <w:b/>
              </w:rPr>
            </w:pPr>
            <w:r>
              <w:rPr>
                <w:b/>
              </w:rPr>
              <w:t>System Model</w:t>
            </w:r>
          </w:p>
        </w:tc>
        <w:tc>
          <w:tcPr>
            <w:tcW w:w="1620" w:type="dxa"/>
          </w:tcPr>
          <w:p w14:paraId="338309C7" w14:textId="6C3BB7BF" w:rsidR="00DB1DF9" w:rsidRDefault="00DB1DF9" w:rsidP="004E321C">
            <w:pPr>
              <w:tabs>
                <w:tab w:val="center" w:pos="4680"/>
              </w:tabs>
              <w:jc w:val="center"/>
              <w:rPr>
                <w:b/>
              </w:rPr>
            </w:pPr>
            <w:r>
              <w:rPr>
                <w:b/>
              </w:rPr>
              <w:t>Engine Model</w:t>
            </w:r>
          </w:p>
        </w:tc>
        <w:tc>
          <w:tcPr>
            <w:tcW w:w="1710" w:type="dxa"/>
          </w:tcPr>
          <w:p w14:paraId="16990A61" w14:textId="77777777" w:rsidR="00DB1DF9" w:rsidRPr="0071289B" w:rsidRDefault="00DB1DF9" w:rsidP="00A32201">
            <w:pPr>
              <w:tabs>
                <w:tab w:val="center" w:pos="4680"/>
              </w:tabs>
              <w:jc w:val="center"/>
              <w:rPr>
                <w:b/>
              </w:rPr>
            </w:pPr>
            <w:r>
              <w:rPr>
                <w:b/>
              </w:rPr>
              <w:t>Generator Output (kWe)</w:t>
            </w:r>
          </w:p>
        </w:tc>
        <w:tc>
          <w:tcPr>
            <w:tcW w:w="1080" w:type="dxa"/>
          </w:tcPr>
          <w:p w14:paraId="082FE756" w14:textId="77777777" w:rsidR="00DB1DF9" w:rsidRPr="0071289B" w:rsidRDefault="00DB1DF9" w:rsidP="0071289B">
            <w:pPr>
              <w:tabs>
                <w:tab w:val="center" w:pos="4680"/>
              </w:tabs>
              <w:jc w:val="center"/>
              <w:rPr>
                <w:b/>
              </w:rPr>
            </w:pPr>
            <w:r w:rsidRPr="0071289B">
              <w:rPr>
                <w:b/>
              </w:rPr>
              <w:t>Permit Number</w:t>
            </w:r>
          </w:p>
        </w:tc>
      </w:tr>
      <w:tr w:rsidR="00DB1DF9" w14:paraId="006A7845" w14:textId="77777777" w:rsidTr="00DB1DF9">
        <w:tc>
          <w:tcPr>
            <w:tcW w:w="2520" w:type="dxa"/>
          </w:tcPr>
          <w:p w14:paraId="620216FB" w14:textId="7272F6EC" w:rsidR="00DB1DF9" w:rsidRPr="00A32201" w:rsidRDefault="00DB1DF9" w:rsidP="00C2412E">
            <w:pPr>
              <w:tabs>
                <w:tab w:val="center" w:pos="4680"/>
              </w:tabs>
            </w:pPr>
            <w:bookmarkStart w:id="0" w:name="_Hlk130298181"/>
            <w:r>
              <w:t>Central Utility Building 800 Florida Ave. NE Washington, DC</w:t>
            </w:r>
          </w:p>
        </w:tc>
        <w:tc>
          <w:tcPr>
            <w:tcW w:w="1350" w:type="dxa"/>
          </w:tcPr>
          <w:p w14:paraId="0538947F" w14:textId="61D6AA8F" w:rsidR="00DB1DF9" w:rsidRDefault="00DB1DF9" w:rsidP="00564065">
            <w:pPr>
              <w:tabs>
                <w:tab w:val="center" w:pos="4680"/>
              </w:tabs>
            </w:pPr>
            <w:r>
              <w:t>CHP # -1</w:t>
            </w:r>
          </w:p>
        </w:tc>
        <w:tc>
          <w:tcPr>
            <w:tcW w:w="1350" w:type="dxa"/>
          </w:tcPr>
          <w:p w14:paraId="66A58288" w14:textId="00F53513" w:rsidR="00DB1DF9" w:rsidRDefault="00DB1DF9" w:rsidP="00564065">
            <w:pPr>
              <w:tabs>
                <w:tab w:val="center" w:pos="4680"/>
              </w:tabs>
            </w:pPr>
            <w:r>
              <w:t>SMS1500G</w:t>
            </w:r>
          </w:p>
        </w:tc>
        <w:tc>
          <w:tcPr>
            <w:tcW w:w="1620" w:type="dxa"/>
          </w:tcPr>
          <w:p w14:paraId="3417A8BE" w14:textId="4ED23158" w:rsidR="00DB1DF9" w:rsidRDefault="00DB1DF9" w:rsidP="0071289B">
            <w:pPr>
              <w:tabs>
                <w:tab w:val="center" w:pos="4680"/>
              </w:tabs>
              <w:jc w:val="center"/>
            </w:pPr>
            <w:r>
              <w:t>GS16R2-PTK</w:t>
            </w:r>
          </w:p>
        </w:tc>
        <w:tc>
          <w:tcPr>
            <w:tcW w:w="1710" w:type="dxa"/>
          </w:tcPr>
          <w:p w14:paraId="30D9C9E1" w14:textId="1685A694" w:rsidR="00DB1DF9" w:rsidRDefault="00DB1DF9" w:rsidP="0071289B">
            <w:pPr>
              <w:tabs>
                <w:tab w:val="center" w:pos="4680"/>
              </w:tabs>
              <w:jc w:val="center"/>
            </w:pPr>
            <w:r>
              <w:t>1,500</w:t>
            </w:r>
          </w:p>
        </w:tc>
        <w:tc>
          <w:tcPr>
            <w:tcW w:w="1080" w:type="dxa"/>
          </w:tcPr>
          <w:p w14:paraId="2E229993" w14:textId="1C51527F" w:rsidR="00DB1DF9" w:rsidRDefault="00DB1DF9" w:rsidP="008C623E">
            <w:pPr>
              <w:tabs>
                <w:tab w:val="center" w:pos="4680"/>
              </w:tabs>
              <w:jc w:val="center"/>
            </w:pPr>
            <w:r>
              <w:t>7330</w:t>
            </w:r>
          </w:p>
        </w:tc>
      </w:tr>
      <w:bookmarkEnd w:id="0"/>
      <w:tr w:rsidR="00DB1DF9" w14:paraId="6FE78AA8" w14:textId="77777777" w:rsidTr="00DB1DF9">
        <w:tc>
          <w:tcPr>
            <w:tcW w:w="2520" w:type="dxa"/>
          </w:tcPr>
          <w:p w14:paraId="549896BD" w14:textId="77777777" w:rsidR="00DB1DF9" w:rsidRDefault="00DB1DF9" w:rsidP="00564065">
            <w:pPr>
              <w:tabs>
                <w:tab w:val="center" w:pos="4680"/>
              </w:tabs>
            </w:pPr>
            <w:r>
              <w:t>Central Utility Building</w:t>
            </w:r>
          </w:p>
          <w:p w14:paraId="0F9496B5" w14:textId="76E54518" w:rsidR="00DB1DF9" w:rsidRDefault="00DB1DF9" w:rsidP="00564065">
            <w:pPr>
              <w:tabs>
                <w:tab w:val="center" w:pos="4680"/>
              </w:tabs>
            </w:pPr>
            <w:r>
              <w:t>800 Florida Ave. NE Washington, DC</w:t>
            </w:r>
          </w:p>
        </w:tc>
        <w:tc>
          <w:tcPr>
            <w:tcW w:w="1350" w:type="dxa"/>
          </w:tcPr>
          <w:p w14:paraId="5266549A" w14:textId="035A176E" w:rsidR="00DB1DF9" w:rsidRDefault="00DB1DF9" w:rsidP="00564065">
            <w:pPr>
              <w:tabs>
                <w:tab w:val="center" w:pos="4680"/>
              </w:tabs>
            </w:pPr>
            <w:r>
              <w:t>CHP # -2</w:t>
            </w:r>
          </w:p>
        </w:tc>
        <w:tc>
          <w:tcPr>
            <w:tcW w:w="1350" w:type="dxa"/>
          </w:tcPr>
          <w:p w14:paraId="3AC87BCA" w14:textId="4AD262B4" w:rsidR="00DB1DF9" w:rsidRDefault="00DB1DF9" w:rsidP="00564065">
            <w:pPr>
              <w:tabs>
                <w:tab w:val="center" w:pos="4680"/>
              </w:tabs>
            </w:pPr>
            <w:r>
              <w:t>SMS1500G</w:t>
            </w:r>
          </w:p>
        </w:tc>
        <w:tc>
          <w:tcPr>
            <w:tcW w:w="1620" w:type="dxa"/>
          </w:tcPr>
          <w:p w14:paraId="4F45957C" w14:textId="70BBE378" w:rsidR="00DB1DF9" w:rsidRDefault="00DB1DF9" w:rsidP="0071289B">
            <w:pPr>
              <w:tabs>
                <w:tab w:val="center" w:pos="4680"/>
              </w:tabs>
              <w:jc w:val="center"/>
            </w:pPr>
            <w:r>
              <w:t>GS16R2-PTK</w:t>
            </w:r>
          </w:p>
        </w:tc>
        <w:tc>
          <w:tcPr>
            <w:tcW w:w="1710" w:type="dxa"/>
          </w:tcPr>
          <w:p w14:paraId="4CE7F107" w14:textId="20544174" w:rsidR="00DB1DF9" w:rsidRDefault="00DB1DF9" w:rsidP="0071289B">
            <w:pPr>
              <w:tabs>
                <w:tab w:val="center" w:pos="4680"/>
              </w:tabs>
              <w:jc w:val="center"/>
            </w:pPr>
            <w:r>
              <w:t xml:space="preserve">1,500 </w:t>
            </w:r>
          </w:p>
        </w:tc>
        <w:tc>
          <w:tcPr>
            <w:tcW w:w="1080" w:type="dxa"/>
          </w:tcPr>
          <w:p w14:paraId="7916848A" w14:textId="69BDA527" w:rsidR="00DB1DF9" w:rsidRDefault="00DB1DF9" w:rsidP="00A35222">
            <w:pPr>
              <w:tabs>
                <w:tab w:val="center" w:pos="4680"/>
              </w:tabs>
              <w:jc w:val="center"/>
            </w:pPr>
            <w:r>
              <w:t>7331</w:t>
            </w:r>
          </w:p>
        </w:tc>
      </w:tr>
      <w:tr w:rsidR="00DB1DF9" w14:paraId="0D78F809" w14:textId="77777777" w:rsidTr="00DB1DF9">
        <w:tc>
          <w:tcPr>
            <w:tcW w:w="2520" w:type="dxa"/>
          </w:tcPr>
          <w:p w14:paraId="4CD8F450" w14:textId="7CDBB596" w:rsidR="00DB1DF9" w:rsidRPr="00A32201" w:rsidRDefault="00DB1DF9" w:rsidP="00B77877">
            <w:pPr>
              <w:tabs>
                <w:tab w:val="center" w:pos="4680"/>
              </w:tabs>
            </w:pPr>
            <w:r>
              <w:t>Central Utility Building 800 Florida Ave. NE Washington, DC</w:t>
            </w:r>
          </w:p>
        </w:tc>
        <w:tc>
          <w:tcPr>
            <w:tcW w:w="1350" w:type="dxa"/>
          </w:tcPr>
          <w:p w14:paraId="3A21768E" w14:textId="32418485" w:rsidR="00DB1DF9" w:rsidRDefault="00DB1DF9" w:rsidP="00B77877">
            <w:pPr>
              <w:tabs>
                <w:tab w:val="center" w:pos="4680"/>
              </w:tabs>
            </w:pPr>
            <w:r>
              <w:t>CHP # -3</w:t>
            </w:r>
          </w:p>
        </w:tc>
        <w:tc>
          <w:tcPr>
            <w:tcW w:w="1350" w:type="dxa"/>
          </w:tcPr>
          <w:p w14:paraId="30CE0918" w14:textId="1170E1B8" w:rsidR="00DB1DF9" w:rsidRDefault="00DB1DF9" w:rsidP="00B77877">
            <w:pPr>
              <w:tabs>
                <w:tab w:val="center" w:pos="4680"/>
              </w:tabs>
            </w:pPr>
            <w:r>
              <w:t>SMS1500G</w:t>
            </w:r>
          </w:p>
        </w:tc>
        <w:tc>
          <w:tcPr>
            <w:tcW w:w="1620" w:type="dxa"/>
          </w:tcPr>
          <w:p w14:paraId="68C45B4C" w14:textId="73125F03" w:rsidR="00DB1DF9" w:rsidRDefault="00DB1DF9" w:rsidP="00B77877">
            <w:pPr>
              <w:tabs>
                <w:tab w:val="center" w:pos="4680"/>
              </w:tabs>
              <w:jc w:val="center"/>
            </w:pPr>
            <w:r>
              <w:t>GS16R2-PTK</w:t>
            </w:r>
          </w:p>
        </w:tc>
        <w:tc>
          <w:tcPr>
            <w:tcW w:w="1710" w:type="dxa"/>
          </w:tcPr>
          <w:p w14:paraId="01F3EE5B" w14:textId="5B5FAFC5" w:rsidR="00DB1DF9" w:rsidRDefault="00DB1DF9" w:rsidP="00B77877">
            <w:pPr>
              <w:tabs>
                <w:tab w:val="center" w:pos="4680"/>
              </w:tabs>
              <w:jc w:val="center"/>
            </w:pPr>
            <w:r>
              <w:t>1,500</w:t>
            </w:r>
          </w:p>
        </w:tc>
        <w:tc>
          <w:tcPr>
            <w:tcW w:w="1080" w:type="dxa"/>
          </w:tcPr>
          <w:p w14:paraId="060BCB0A" w14:textId="680A4208" w:rsidR="00DB1DF9" w:rsidRDefault="00DB1DF9" w:rsidP="00B77877">
            <w:pPr>
              <w:tabs>
                <w:tab w:val="center" w:pos="4680"/>
              </w:tabs>
              <w:jc w:val="center"/>
            </w:pPr>
            <w:r>
              <w:t>7332</w:t>
            </w:r>
          </w:p>
        </w:tc>
      </w:tr>
    </w:tbl>
    <w:p w14:paraId="20BF37DC" w14:textId="77777777" w:rsidR="0071289B" w:rsidRPr="004C136D" w:rsidRDefault="0071289B" w:rsidP="00564065">
      <w:pPr>
        <w:tabs>
          <w:tab w:val="center" w:pos="4680"/>
        </w:tabs>
        <w:rPr>
          <w:sz w:val="18"/>
          <w:szCs w:val="18"/>
        </w:rPr>
      </w:pPr>
    </w:p>
    <w:p w14:paraId="62CEAAE4" w14:textId="0AB877C0"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received on </w:t>
      </w:r>
      <w:r w:rsidR="00857EB9">
        <w:t>July 1</w:t>
      </w:r>
      <w:r w:rsidR="00DB1DF9">
        <w:t>9</w:t>
      </w:r>
      <w:r>
        <w:t>, 20</w:t>
      </w:r>
      <w:r w:rsidR="00857EB9">
        <w:t>22</w:t>
      </w:r>
      <w:r>
        <w:t>, the application</w:t>
      </w:r>
      <w:r w:rsidR="00C755AB">
        <w:t>s</w:t>
      </w:r>
      <w:r>
        <w:t xml:space="preserve"> </w:t>
      </w:r>
      <w:r w:rsidR="00C755AB">
        <w:t>are</w:t>
      </w:r>
      <w:r>
        <w:t xml:space="preserve"> hereby approved, </w:t>
      </w:r>
      <w:r w:rsidR="00DC389C">
        <w:t xml:space="preserve">and the </w:t>
      </w:r>
      <w:r w:rsidR="00DB1DF9">
        <w:t xml:space="preserve">construction and </w:t>
      </w:r>
      <w:r w:rsidR="00DC389C">
        <w:t xml:space="preserve">operation of the </w:t>
      </w:r>
      <w:r w:rsidR="00DB1DF9">
        <w:t>CHP systems</w:t>
      </w:r>
      <w:r w:rsidR="009D2BC4">
        <w:t xml:space="preserve"> </w:t>
      </w:r>
      <w:r w:rsidR="00857EB9">
        <w:t>CHP</w:t>
      </w:r>
      <w:r w:rsidR="009D2BC4">
        <w:t xml:space="preserve"> #</w:t>
      </w:r>
      <w:r w:rsidR="00DB1DF9">
        <w:t xml:space="preserve"> -</w:t>
      </w:r>
      <w:r w:rsidR="009D2BC4">
        <w:t>1</w:t>
      </w:r>
      <w:r w:rsidR="00857EB9">
        <w:t>, CHP</w:t>
      </w:r>
      <w:r w:rsidR="00DB1DF9">
        <w:t xml:space="preserve"> </w:t>
      </w:r>
      <w:r w:rsidR="00857EB9">
        <w:t>#</w:t>
      </w:r>
      <w:r w:rsidR="00DB1DF9">
        <w:t xml:space="preserve"> -</w:t>
      </w:r>
      <w:r w:rsidR="00857EB9">
        <w:t>2</w:t>
      </w:r>
      <w:r w:rsidR="004E2D6B">
        <w:t>,</w:t>
      </w:r>
      <w:r w:rsidR="009D2BC4">
        <w:t xml:space="preserve"> and </w:t>
      </w:r>
      <w:r w:rsidR="00857EB9">
        <w:t>CHP</w:t>
      </w:r>
      <w:r w:rsidR="009D2BC4">
        <w:t xml:space="preserve"> #</w:t>
      </w:r>
      <w:r w:rsidR="00DB1DF9">
        <w:t xml:space="preserve"> -</w:t>
      </w:r>
      <w:r w:rsidR="009D2BC4">
        <w:t>3</w:t>
      </w:r>
      <w:r w:rsidR="004E2D6B">
        <w:t>,</w:t>
      </w:r>
      <w:r w:rsidR="00DC389C">
        <w:t xml:space="preserve"> are permitted, </w:t>
      </w:r>
      <w:r w:rsidRPr="0015560D">
        <w:t>subject to the following conditions:</w:t>
      </w:r>
    </w:p>
    <w:p w14:paraId="1690F9AE" w14:textId="77777777" w:rsidR="008C7470" w:rsidRDefault="008C7470" w:rsidP="00564065">
      <w:pPr>
        <w:ind w:left="360" w:hanging="360"/>
      </w:pPr>
    </w:p>
    <w:p w14:paraId="77895266" w14:textId="37140858" w:rsidR="00564065" w:rsidRPr="006243B7" w:rsidRDefault="00564065" w:rsidP="00564065">
      <w:pPr>
        <w:ind w:left="360" w:hanging="360"/>
        <w:rPr>
          <w:u w:val="single"/>
        </w:rPr>
      </w:pPr>
      <w:r w:rsidRPr="006243B7">
        <w:t>I.</w:t>
      </w:r>
      <w:r w:rsidRPr="006243B7">
        <w:tab/>
      </w:r>
      <w:r w:rsidRPr="006243B7">
        <w:rPr>
          <w:u w:val="single"/>
        </w:rPr>
        <w:t>General Requirements:</w:t>
      </w:r>
    </w:p>
    <w:p w14:paraId="6A2AF7C2" w14:textId="77777777" w:rsidR="00564065" w:rsidRPr="006243B7" w:rsidRDefault="00564065" w:rsidP="00564065">
      <w:pPr>
        <w:ind w:left="360" w:hanging="360"/>
      </w:pPr>
    </w:p>
    <w:p w14:paraId="0D6FAC1D" w14:textId="2E70EC83"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 xml:space="preserve">for the </w:t>
      </w:r>
      <w:r w:rsidR="00C82D38">
        <w:t xml:space="preserve">construction and </w:t>
      </w:r>
      <w:r w:rsidR="00564065" w:rsidRPr="006A4B1F">
        <w:t>operation of</w:t>
      </w:r>
      <w:r w:rsidR="00564065">
        <w:t xml:space="preserve"> the</w:t>
      </w:r>
      <w:r w:rsidR="00564065" w:rsidRPr="006A4B1F">
        <w:t xml:space="preserve"> </w:t>
      </w:r>
      <w:r w:rsidR="004E321C">
        <w:t>C</w:t>
      </w:r>
      <w:r w:rsidR="00C82D38">
        <w:t>HP units</w:t>
      </w:r>
      <w:r w:rsidR="00564065" w:rsidRPr="006A4B1F">
        <w:t>.</w:t>
      </w:r>
    </w:p>
    <w:p w14:paraId="4D0F3179" w14:textId="449D70BD" w:rsidR="00B46F61" w:rsidRDefault="00564065" w:rsidP="00B46F61">
      <w:pPr>
        <w:pStyle w:val="ListParagraph"/>
        <w:numPr>
          <w:ilvl w:val="1"/>
          <w:numId w:val="3"/>
        </w:numPr>
      </w:pPr>
      <w:r w:rsidRPr="006243B7">
        <w:lastRenderedPageBreak/>
        <w:t>This</w:t>
      </w:r>
      <w:r>
        <w:t xml:space="preserve"> </w:t>
      </w:r>
      <w:r w:rsidR="00C755AB">
        <w:t xml:space="preserve">set of </w:t>
      </w:r>
      <w:r>
        <w:t>permit</w:t>
      </w:r>
      <w:r w:rsidR="00C755AB">
        <w:t>s</w:t>
      </w:r>
      <w:r>
        <w:t xml:space="preserve"> will expire</w:t>
      </w:r>
      <w:r w:rsidRPr="006243B7">
        <w:t xml:space="preserve"> on </w:t>
      </w:r>
      <w:r w:rsidR="00C82D38">
        <w:t>May 22</w:t>
      </w:r>
      <w:r w:rsidR="006B3601">
        <w:t>, 202</w:t>
      </w:r>
      <w:r w:rsidR="00C82D38">
        <w:t>8</w:t>
      </w:r>
      <w:r w:rsidRPr="006243B7">
        <w:t xml:space="preserve">.  If continued operation after this date is desired, the </w:t>
      </w:r>
      <w:r w:rsidR="0071289B">
        <w:t>Permittee</w:t>
      </w:r>
      <w:r w:rsidR="00136B8D">
        <w:t xml:space="preserve"> shall submit </w:t>
      </w:r>
      <w:r>
        <w:t>a</w:t>
      </w:r>
      <w:r w:rsidRPr="006243B7">
        <w:t>pplication</w:t>
      </w:r>
      <w:r w:rsidR="00136B8D">
        <w:t>s</w:t>
      </w:r>
      <w:r w:rsidRPr="006243B7">
        <w:t xml:space="preserve"> for renewal by</w:t>
      </w:r>
      <w:r>
        <w:t xml:space="preserve"> </w:t>
      </w:r>
      <w:r w:rsidR="00C82D38">
        <w:t>January</w:t>
      </w:r>
      <w:r w:rsidR="000C5241">
        <w:t xml:space="preserve"> </w:t>
      </w:r>
      <w:r w:rsidR="00C82D38">
        <w:t>22</w:t>
      </w:r>
      <w:r w:rsidR="00136B8D">
        <w:t>, 202</w:t>
      </w:r>
      <w:r w:rsidR="00C82D38">
        <w:t>8</w:t>
      </w:r>
      <w:r>
        <w:t>.</w:t>
      </w:r>
    </w:p>
    <w:p w14:paraId="5AE9D528" w14:textId="77777777" w:rsidR="00564065" w:rsidRDefault="00B46F61" w:rsidP="00B46F61">
      <w:pPr>
        <w:ind w:left="360"/>
      </w:pPr>
      <w:r>
        <w:t xml:space="preserve">     </w:t>
      </w:r>
      <w:r w:rsidR="00564065">
        <w:t xml:space="preserve"> </w:t>
      </w:r>
      <w:r w:rsidR="00564065" w:rsidRPr="006A4B1F">
        <w:t>[20 DCMR 200.4]</w:t>
      </w:r>
    </w:p>
    <w:p w14:paraId="57A35671" w14:textId="77777777" w:rsidR="00564065" w:rsidRDefault="00564065" w:rsidP="00564065">
      <w:pPr>
        <w:ind w:left="720" w:hanging="360"/>
      </w:pPr>
    </w:p>
    <w:p w14:paraId="30381102" w14:textId="37CCA15C" w:rsidR="00564065" w:rsidRDefault="00C82D38" w:rsidP="00B46F61">
      <w:pPr>
        <w:pStyle w:val="ListParagraph"/>
        <w:numPr>
          <w:ilvl w:val="0"/>
          <w:numId w:val="1"/>
        </w:numPr>
      </w:pPr>
      <w:r>
        <w:t>Construction or o</w:t>
      </w:r>
      <w:r w:rsidR="000B01CA">
        <w:t>peration</w:t>
      </w:r>
      <w:r w:rsidR="00564065">
        <w:t xml:space="preserve"> of equipment under the authority of this </w:t>
      </w:r>
      <w:r w:rsidR="007B18E8">
        <w:t xml:space="preserve">set of </w:t>
      </w:r>
      <w:r w:rsidR="00564065">
        <w:t>permit</w:t>
      </w:r>
      <w:r w:rsidR="007B18E8">
        <w:t>s</w:t>
      </w:r>
      <w:r w:rsidR="00564065">
        <w:t xml:space="preserve"> shall be considered acceptance of its terms and conditions</w:t>
      </w:r>
      <w:r w:rsidR="00564065" w:rsidRPr="006243B7">
        <w:t>.</w:t>
      </w:r>
    </w:p>
    <w:p w14:paraId="71F1390A" w14:textId="77777777" w:rsidR="00B46F61" w:rsidRDefault="00B46F61" w:rsidP="00B46F61">
      <w:pPr>
        <w:pStyle w:val="ListParagraph"/>
      </w:pPr>
    </w:p>
    <w:p w14:paraId="4E262121" w14:textId="77777777" w:rsidR="00564065" w:rsidRDefault="00564065" w:rsidP="00564065">
      <w:pPr>
        <w:numPr>
          <w:ilvl w:val="0"/>
          <w:numId w:val="1"/>
        </w:numPr>
      </w:pPr>
      <w:r>
        <w:t>The Permittee shall allow authorized officials of the District, upon presentation of identification, to:</w:t>
      </w:r>
    </w:p>
    <w:p w14:paraId="27D1C96E" w14:textId="77777777" w:rsidR="00564065" w:rsidRDefault="00564065" w:rsidP="00564065">
      <w:pPr>
        <w:ind w:left="720"/>
      </w:pPr>
    </w:p>
    <w:p w14:paraId="36293DA7" w14:textId="77777777"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14:paraId="672F0E73" w14:textId="77777777" w:rsidR="00564065" w:rsidRPr="00F341B1" w:rsidRDefault="00564065" w:rsidP="00564065">
      <w:pPr>
        <w:tabs>
          <w:tab w:val="left" w:pos="-1440"/>
          <w:tab w:val="left" w:pos="-720"/>
          <w:tab w:val="left" w:pos="1080"/>
        </w:tabs>
        <w:ind w:left="1080" w:hanging="360"/>
      </w:pPr>
    </w:p>
    <w:p w14:paraId="134A495E" w14:textId="77777777"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14:paraId="23ED4ABB" w14:textId="77777777" w:rsidR="00564065" w:rsidRPr="00F341B1" w:rsidRDefault="00564065" w:rsidP="00564065">
      <w:pPr>
        <w:tabs>
          <w:tab w:val="left" w:pos="-1440"/>
          <w:tab w:val="left" w:pos="-720"/>
          <w:tab w:val="left" w:pos="1080"/>
        </w:tabs>
        <w:ind w:left="1080" w:hanging="360"/>
      </w:pPr>
    </w:p>
    <w:p w14:paraId="6158A885" w14:textId="77777777"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14:paraId="2145E630" w14:textId="77777777" w:rsidR="00564065" w:rsidRPr="00F341B1" w:rsidRDefault="00564065" w:rsidP="00564065">
      <w:pPr>
        <w:tabs>
          <w:tab w:val="left" w:pos="-1440"/>
          <w:tab w:val="left" w:pos="-720"/>
          <w:tab w:val="left" w:pos="1080"/>
        </w:tabs>
        <w:ind w:left="1080" w:hanging="360"/>
      </w:pPr>
    </w:p>
    <w:p w14:paraId="119C7A2F" w14:textId="77777777"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14:paraId="3B082023" w14:textId="77777777" w:rsidR="00564065" w:rsidRDefault="00564065" w:rsidP="00564065">
      <w:pPr>
        <w:ind w:left="360"/>
      </w:pPr>
    </w:p>
    <w:p w14:paraId="41C5A7FF" w14:textId="77777777" w:rsidR="00564065" w:rsidRDefault="00564065" w:rsidP="00564065">
      <w:pPr>
        <w:numPr>
          <w:ilvl w:val="0"/>
          <w:numId w:val="1"/>
        </w:numPr>
      </w:pPr>
      <w:r>
        <w:t xml:space="preserve">This </w:t>
      </w:r>
      <w:r w:rsidR="008942D0">
        <w:t xml:space="preserve">set of </w:t>
      </w:r>
      <w:r>
        <w:t>permit</w:t>
      </w:r>
      <w:r w:rsidR="008942D0">
        <w:t>s</w:t>
      </w:r>
      <w:r>
        <w:t xml:space="preserve"> shall be kept on the premises and produced upon request</w:t>
      </w:r>
      <w:r w:rsidRPr="0054722C">
        <w:t>.</w:t>
      </w:r>
    </w:p>
    <w:p w14:paraId="56CAADD6" w14:textId="77777777" w:rsidR="00564065" w:rsidRDefault="00564065" w:rsidP="00564065"/>
    <w:p w14:paraId="387BE088" w14:textId="77777777" w:rsidR="00564065" w:rsidRDefault="00564065" w:rsidP="00564065">
      <w:pPr>
        <w:numPr>
          <w:ilvl w:val="0"/>
          <w:numId w:val="1"/>
        </w:numPr>
      </w:pPr>
      <w:r w:rsidRPr="00F341B1">
        <w:t>Failure to com</w:t>
      </w:r>
      <w:r w:rsidR="000A4B16">
        <w:t xml:space="preserve">ply with the provisions of these </w:t>
      </w:r>
      <w:r w:rsidRPr="00F341B1">
        <w:t>permit</w:t>
      </w:r>
      <w:r w:rsidR="000A4B16">
        <w:t>s</w:t>
      </w:r>
      <w:r w:rsidRPr="00F341B1">
        <w:t xml:space="preserve"> may be grounds for suspension or revocation. [20 DCMR 202.2]</w:t>
      </w:r>
    </w:p>
    <w:p w14:paraId="1D75463B" w14:textId="77777777" w:rsidR="008C7470" w:rsidRDefault="008C7470" w:rsidP="00564065">
      <w:pPr>
        <w:ind w:left="360" w:hanging="360"/>
      </w:pPr>
    </w:p>
    <w:p w14:paraId="06F18BFB" w14:textId="70F5B6DE" w:rsidR="00564065" w:rsidRPr="006243B7" w:rsidRDefault="00564065" w:rsidP="00564065">
      <w:pPr>
        <w:ind w:left="360" w:hanging="360"/>
        <w:rPr>
          <w:u w:val="single"/>
        </w:rPr>
      </w:pPr>
      <w:r w:rsidRPr="006243B7">
        <w:t>II.</w:t>
      </w:r>
      <w:r w:rsidRPr="006243B7">
        <w:tab/>
      </w:r>
      <w:r w:rsidRPr="006243B7">
        <w:rPr>
          <w:u w:val="single"/>
        </w:rPr>
        <w:t>Emission Limitations:</w:t>
      </w:r>
    </w:p>
    <w:p w14:paraId="7B93DB0C" w14:textId="77777777" w:rsidR="00704174" w:rsidRDefault="00704174" w:rsidP="00704174">
      <w:pPr>
        <w:ind w:left="720" w:hanging="360"/>
      </w:pPr>
    </w:p>
    <w:p w14:paraId="72474468" w14:textId="748821F9" w:rsidR="00704174" w:rsidRDefault="00704174" w:rsidP="00704174">
      <w:pPr>
        <w:ind w:left="720" w:hanging="360"/>
      </w:pPr>
      <w:r w:rsidRPr="006243B7">
        <w:t>a.</w:t>
      </w:r>
      <w:r w:rsidRPr="006243B7">
        <w:tab/>
      </w:r>
      <w:r>
        <w:t xml:space="preserve">Emissions from </w:t>
      </w:r>
      <w:r w:rsidR="00B060E6">
        <w:t>each</w:t>
      </w:r>
      <w:r>
        <w:t xml:space="preserve"> </w:t>
      </w:r>
      <w:r w:rsidR="00FF4F5D">
        <w:t>engine, before the application of selective catalytic reduction (SCR),</w:t>
      </w:r>
      <w:r>
        <w:t xml:space="preserve"> shall not exceed those in the following table [40 CFR 60.4233(e) and Subpart JJJJ, Table 1]:</w:t>
      </w:r>
    </w:p>
    <w:p w14:paraId="33183D19" w14:textId="77777777" w:rsidR="00704174" w:rsidRDefault="00704174" w:rsidP="00704174">
      <w:pPr>
        <w:ind w:left="360" w:hanging="360"/>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501"/>
        <w:gridCol w:w="1421"/>
        <w:gridCol w:w="1417"/>
        <w:gridCol w:w="1327"/>
        <w:gridCol w:w="1351"/>
      </w:tblGrid>
      <w:tr w:rsidR="00704174" w14:paraId="6A3D6A68" w14:textId="77777777" w:rsidTr="00E301F2">
        <w:tc>
          <w:tcPr>
            <w:tcW w:w="8725" w:type="dxa"/>
            <w:gridSpan w:val="6"/>
          </w:tcPr>
          <w:p w14:paraId="43ECB08A" w14:textId="77777777" w:rsidR="00704174" w:rsidRPr="0074136B" w:rsidRDefault="00704174" w:rsidP="00F004BD">
            <w:pPr>
              <w:jc w:val="center"/>
              <w:rPr>
                <w:b/>
              </w:rPr>
            </w:pPr>
            <w:r w:rsidRPr="0074136B">
              <w:rPr>
                <w:b/>
              </w:rPr>
              <w:t>Pollutant Emission Limits</w:t>
            </w:r>
            <w:r>
              <w:rPr>
                <w:b/>
                <w:vertAlign w:val="superscript"/>
              </w:rPr>
              <w:t>1</w:t>
            </w:r>
          </w:p>
        </w:tc>
      </w:tr>
      <w:tr w:rsidR="00704174" w14:paraId="286166C4" w14:textId="77777777" w:rsidTr="00E301F2">
        <w:tc>
          <w:tcPr>
            <w:tcW w:w="4630" w:type="dxa"/>
            <w:gridSpan w:val="3"/>
          </w:tcPr>
          <w:p w14:paraId="51281489" w14:textId="77777777" w:rsidR="00704174" w:rsidRDefault="00704174" w:rsidP="00F004BD">
            <w:pPr>
              <w:jc w:val="center"/>
            </w:pPr>
            <w:r w:rsidRPr="0074136B">
              <w:rPr>
                <w:b/>
              </w:rPr>
              <w:t>(g/HP-hr)</w:t>
            </w:r>
          </w:p>
        </w:tc>
        <w:tc>
          <w:tcPr>
            <w:tcW w:w="4095" w:type="dxa"/>
            <w:gridSpan w:val="3"/>
          </w:tcPr>
          <w:p w14:paraId="09A8B62C" w14:textId="77777777" w:rsidR="00704174" w:rsidRPr="000E010A" w:rsidRDefault="00704174" w:rsidP="00F004BD">
            <w:pPr>
              <w:jc w:val="center"/>
              <w:rPr>
                <w:vertAlign w:val="subscript"/>
              </w:rPr>
            </w:pPr>
            <w:r>
              <w:t>ppmvd at 15% O</w:t>
            </w:r>
            <w:r>
              <w:rPr>
                <w:vertAlign w:val="subscript"/>
              </w:rPr>
              <w:t>2</w:t>
            </w:r>
          </w:p>
        </w:tc>
      </w:tr>
      <w:tr w:rsidR="00704174" w14:paraId="4C44ECDA" w14:textId="77777777" w:rsidTr="00E301F2">
        <w:tc>
          <w:tcPr>
            <w:tcW w:w="1708" w:type="dxa"/>
          </w:tcPr>
          <w:p w14:paraId="3BB02A32" w14:textId="77777777" w:rsidR="00704174" w:rsidRPr="00730BFF" w:rsidRDefault="00704174" w:rsidP="00F004BD">
            <w:pPr>
              <w:jc w:val="center"/>
            </w:pPr>
            <w:r w:rsidRPr="00730BFF">
              <w:t>NOx</w:t>
            </w:r>
            <w:r>
              <w:t xml:space="preserve"> </w:t>
            </w:r>
          </w:p>
        </w:tc>
        <w:tc>
          <w:tcPr>
            <w:tcW w:w="1501" w:type="dxa"/>
          </w:tcPr>
          <w:p w14:paraId="704F9475" w14:textId="77777777" w:rsidR="00704174" w:rsidRPr="00730BFF" w:rsidRDefault="00704174" w:rsidP="00F004BD">
            <w:pPr>
              <w:jc w:val="center"/>
            </w:pPr>
            <w:r>
              <w:t>CO</w:t>
            </w:r>
          </w:p>
        </w:tc>
        <w:tc>
          <w:tcPr>
            <w:tcW w:w="1421" w:type="dxa"/>
          </w:tcPr>
          <w:p w14:paraId="37FF339B" w14:textId="77777777" w:rsidR="00704174" w:rsidRPr="000E010A" w:rsidRDefault="00704174" w:rsidP="00F004BD">
            <w:pPr>
              <w:jc w:val="center"/>
              <w:rPr>
                <w:vertAlign w:val="superscript"/>
              </w:rPr>
            </w:pPr>
            <w:r>
              <w:t>VOC</w:t>
            </w:r>
            <w:r>
              <w:rPr>
                <w:vertAlign w:val="superscript"/>
              </w:rPr>
              <w:t>2</w:t>
            </w:r>
          </w:p>
        </w:tc>
        <w:tc>
          <w:tcPr>
            <w:tcW w:w="1417" w:type="dxa"/>
          </w:tcPr>
          <w:p w14:paraId="546B98C0" w14:textId="77777777" w:rsidR="00704174" w:rsidRPr="00730BFF" w:rsidRDefault="00704174" w:rsidP="00F004BD">
            <w:pPr>
              <w:jc w:val="center"/>
            </w:pPr>
            <w:r w:rsidRPr="00730BFF">
              <w:t>NOx</w:t>
            </w:r>
            <w:r>
              <w:t xml:space="preserve"> </w:t>
            </w:r>
          </w:p>
        </w:tc>
        <w:tc>
          <w:tcPr>
            <w:tcW w:w="1327" w:type="dxa"/>
          </w:tcPr>
          <w:p w14:paraId="3ECFD69E" w14:textId="77777777" w:rsidR="00704174" w:rsidRPr="00730BFF" w:rsidRDefault="00704174" w:rsidP="00F004BD">
            <w:pPr>
              <w:jc w:val="center"/>
            </w:pPr>
            <w:r>
              <w:t>CO</w:t>
            </w:r>
          </w:p>
        </w:tc>
        <w:tc>
          <w:tcPr>
            <w:tcW w:w="1351" w:type="dxa"/>
          </w:tcPr>
          <w:p w14:paraId="46692F35" w14:textId="77777777" w:rsidR="00704174" w:rsidRPr="000E010A" w:rsidRDefault="00704174" w:rsidP="00F004BD">
            <w:pPr>
              <w:jc w:val="center"/>
              <w:rPr>
                <w:vertAlign w:val="superscript"/>
              </w:rPr>
            </w:pPr>
            <w:r>
              <w:t>VOC</w:t>
            </w:r>
            <w:r>
              <w:rPr>
                <w:vertAlign w:val="superscript"/>
              </w:rPr>
              <w:t>2</w:t>
            </w:r>
          </w:p>
        </w:tc>
      </w:tr>
      <w:tr w:rsidR="00704174" w14:paraId="032FDF3B" w14:textId="77777777" w:rsidTr="00E301F2">
        <w:tc>
          <w:tcPr>
            <w:tcW w:w="1708" w:type="dxa"/>
          </w:tcPr>
          <w:p w14:paraId="0B3F56EB" w14:textId="37029E28" w:rsidR="00704174" w:rsidRDefault="007733D8" w:rsidP="00F004BD">
            <w:pPr>
              <w:jc w:val="center"/>
            </w:pPr>
            <w:r>
              <w:t>1</w:t>
            </w:r>
            <w:r w:rsidR="00704174">
              <w:t>.0</w:t>
            </w:r>
          </w:p>
        </w:tc>
        <w:tc>
          <w:tcPr>
            <w:tcW w:w="1501" w:type="dxa"/>
          </w:tcPr>
          <w:p w14:paraId="17F6222E" w14:textId="3F2A8F03" w:rsidR="00704174" w:rsidRDefault="007733D8" w:rsidP="00F004BD">
            <w:pPr>
              <w:jc w:val="center"/>
            </w:pPr>
            <w:r>
              <w:t>2</w:t>
            </w:r>
            <w:r w:rsidR="00704174">
              <w:t>.0</w:t>
            </w:r>
          </w:p>
        </w:tc>
        <w:tc>
          <w:tcPr>
            <w:tcW w:w="1421" w:type="dxa"/>
          </w:tcPr>
          <w:p w14:paraId="588A0A03" w14:textId="607A8B9E" w:rsidR="00704174" w:rsidRDefault="007733D8" w:rsidP="00F004BD">
            <w:pPr>
              <w:jc w:val="center"/>
            </w:pPr>
            <w:r>
              <w:t>0.7</w:t>
            </w:r>
          </w:p>
        </w:tc>
        <w:tc>
          <w:tcPr>
            <w:tcW w:w="1417" w:type="dxa"/>
          </w:tcPr>
          <w:p w14:paraId="42AF03FC" w14:textId="0E408E65" w:rsidR="00704174" w:rsidRDefault="007733D8" w:rsidP="00F004BD">
            <w:pPr>
              <w:jc w:val="center"/>
            </w:pPr>
            <w:r>
              <w:t>82</w:t>
            </w:r>
          </w:p>
        </w:tc>
        <w:tc>
          <w:tcPr>
            <w:tcW w:w="1327" w:type="dxa"/>
          </w:tcPr>
          <w:p w14:paraId="4F38ADCB" w14:textId="0FF73080" w:rsidR="00704174" w:rsidRDefault="007733D8" w:rsidP="00F004BD">
            <w:pPr>
              <w:jc w:val="center"/>
            </w:pPr>
            <w:r>
              <w:t>270</w:t>
            </w:r>
          </w:p>
        </w:tc>
        <w:tc>
          <w:tcPr>
            <w:tcW w:w="1351" w:type="dxa"/>
          </w:tcPr>
          <w:p w14:paraId="4C701704" w14:textId="01386D0E" w:rsidR="00704174" w:rsidRDefault="007733D8" w:rsidP="00F004BD">
            <w:pPr>
              <w:jc w:val="center"/>
            </w:pPr>
            <w:r>
              <w:t>60</w:t>
            </w:r>
          </w:p>
        </w:tc>
      </w:tr>
    </w:tbl>
    <w:p w14:paraId="5E9387B0" w14:textId="77777777" w:rsidR="00704174" w:rsidRDefault="00704174" w:rsidP="00704174">
      <w:pPr>
        <w:ind w:left="810"/>
        <w:rPr>
          <w:sz w:val="20"/>
          <w:szCs w:val="20"/>
        </w:rPr>
      </w:pPr>
      <w:r w:rsidRPr="000E010A">
        <w:rPr>
          <w:sz w:val="20"/>
          <w:szCs w:val="20"/>
          <w:vertAlign w:val="superscript"/>
        </w:rPr>
        <w:t>1</w:t>
      </w:r>
      <w:r w:rsidRPr="000E010A">
        <w:rPr>
          <w:sz w:val="20"/>
          <w:szCs w:val="20"/>
        </w:rPr>
        <w:t>The Permittee may choose to comply with the emission standards in this table in units of either g/HP-hr or ppmvd at 15 percent O</w:t>
      </w:r>
      <w:r w:rsidRPr="000E010A">
        <w:rPr>
          <w:sz w:val="20"/>
          <w:szCs w:val="20"/>
          <w:vertAlign w:val="subscript"/>
        </w:rPr>
        <w:t>2</w:t>
      </w:r>
      <w:r w:rsidRPr="000E010A">
        <w:rPr>
          <w:sz w:val="20"/>
          <w:szCs w:val="20"/>
        </w:rPr>
        <w:t>.</w:t>
      </w:r>
    </w:p>
    <w:p w14:paraId="5CC9600D" w14:textId="2F0B6C2D" w:rsidR="00704174" w:rsidRDefault="00704174" w:rsidP="00704174">
      <w:pPr>
        <w:ind w:left="810"/>
        <w:rPr>
          <w:sz w:val="20"/>
          <w:szCs w:val="20"/>
        </w:rPr>
      </w:pPr>
      <w:r>
        <w:rPr>
          <w:sz w:val="20"/>
          <w:szCs w:val="20"/>
          <w:vertAlign w:val="superscript"/>
        </w:rPr>
        <w:t>2</w:t>
      </w:r>
      <w:r>
        <w:rPr>
          <w:sz w:val="20"/>
          <w:szCs w:val="20"/>
        </w:rPr>
        <w:t>For purposes of this requirement, when calculating emissions of VOCs, emissions of formaldehyde should not be included.</w:t>
      </w:r>
    </w:p>
    <w:p w14:paraId="6441D95B" w14:textId="77777777" w:rsidR="004E2D6B" w:rsidRPr="000E010A" w:rsidRDefault="004E2D6B" w:rsidP="00704174">
      <w:pPr>
        <w:ind w:left="810"/>
        <w:rPr>
          <w:sz w:val="20"/>
          <w:szCs w:val="20"/>
        </w:rPr>
      </w:pPr>
    </w:p>
    <w:p w14:paraId="028479F1" w14:textId="5BA9351B" w:rsidR="007733D8" w:rsidRDefault="00564065" w:rsidP="00564065">
      <w:pPr>
        <w:numPr>
          <w:ilvl w:val="1"/>
          <w:numId w:val="2"/>
        </w:numPr>
        <w:ind w:left="720" w:hanging="720"/>
      </w:pPr>
      <w:r>
        <w:lastRenderedPageBreak/>
        <w:t>b.</w:t>
      </w:r>
      <w:r>
        <w:tab/>
      </w:r>
      <w:r w:rsidR="007733D8">
        <w:t>After application of SCR, required per Condition</w:t>
      </w:r>
      <w:r w:rsidR="007E7804">
        <w:t xml:space="preserve"> III(c)</w:t>
      </w:r>
      <w:r w:rsidR="007733D8">
        <w:t>, emissions from each CHP unit shall not exceed those in the following table [20 DCMR 201</w:t>
      </w:r>
      <w:r w:rsidR="00112A54">
        <w:t xml:space="preserve"> and 20 DCMR 805.7(a)(2)</w:t>
      </w:r>
      <w:r w:rsidR="007733D8">
        <w:t>]:</w:t>
      </w:r>
    </w:p>
    <w:p w14:paraId="787129CD" w14:textId="285D9C2E" w:rsidR="007733D8" w:rsidRDefault="007733D8" w:rsidP="007733D8">
      <w:pPr>
        <w:ind w:left="720"/>
      </w:pP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457"/>
        <w:gridCol w:w="1912"/>
        <w:gridCol w:w="1710"/>
        <w:gridCol w:w="1980"/>
      </w:tblGrid>
      <w:tr w:rsidR="007733D8" w:rsidRPr="0074136B" w14:paraId="2DAEFB6F" w14:textId="77777777" w:rsidTr="00E301F2">
        <w:tc>
          <w:tcPr>
            <w:tcW w:w="8730" w:type="dxa"/>
            <w:gridSpan w:val="5"/>
          </w:tcPr>
          <w:p w14:paraId="685205A2" w14:textId="6BD1A9B1" w:rsidR="007733D8" w:rsidRPr="0074136B" w:rsidRDefault="007733D8" w:rsidP="001369DC">
            <w:pPr>
              <w:jc w:val="center"/>
              <w:rPr>
                <w:b/>
              </w:rPr>
            </w:pPr>
            <w:r w:rsidRPr="0074136B">
              <w:rPr>
                <w:b/>
              </w:rPr>
              <w:t>Pollutant Emission Limits</w:t>
            </w:r>
          </w:p>
        </w:tc>
      </w:tr>
      <w:tr w:rsidR="007C3E85" w:rsidRPr="000E010A" w14:paraId="150DF66B" w14:textId="77777777" w:rsidTr="00E301F2">
        <w:tc>
          <w:tcPr>
            <w:tcW w:w="6750" w:type="dxa"/>
            <w:gridSpan w:val="4"/>
          </w:tcPr>
          <w:p w14:paraId="5A5AF539" w14:textId="12D113C0" w:rsidR="007C3E85" w:rsidRPr="000E010A" w:rsidRDefault="007C3E85" w:rsidP="001369DC">
            <w:pPr>
              <w:jc w:val="center"/>
              <w:rPr>
                <w:vertAlign w:val="subscript"/>
              </w:rPr>
            </w:pPr>
            <w:r w:rsidRPr="0074136B">
              <w:rPr>
                <w:b/>
              </w:rPr>
              <w:t>(g/HP-hr)</w:t>
            </w:r>
          </w:p>
        </w:tc>
        <w:tc>
          <w:tcPr>
            <w:tcW w:w="1980" w:type="dxa"/>
          </w:tcPr>
          <w:p w14:paraId="2470C3A2" w14:textId="459E19FA" w:rsidR="007C3E85" w:rsidRPr="000E010A" w:rsidRDefault="007C3E85" w:rsidP="001369DC">
            <w:pPr>
              <w:jc w:val="center"/>
              <w:rPr>
                <w:vertAlign w:val="subscript"/>
              </w:rPr>
            </w:pPr>
            <w:r>
              <w:t>ppmvd at 15% O</w:t>
            </w:r>
            <w:r>
              <w:rPr>
                <w:vertAlign w:val="subscript"/>
              </w:rPr>
              <w:t>2</w:t>
            </w:r>
          </w:p>
        </w:tc>
      </w:tr>
      <w:tr w:rsidR="007C3E85" w:rsidRPr="000E010A" w14:paraId="18FAA23C" w14:textId="77777777" w:rsidTr="00E301F2">
        <w:tc>
          <w:tcPr>
            <w:tcW w:w="1671" w:type="dxa"/>
          </w:tcPr>
          <w:p w14:paraId="53B3352C" w14:textId="056721A2" w:rsidR="007C3E85" w:rsidRPr="00730BFF" w:rsidRDefault="007C3E85" w:rsidP="001369DC">
            <w:pPr>
              <w:jc w:val="center"/>
            </w:pPr>
            <w:r w:rsidRPr="00730BFF">
              <w:t>NOx</w:t>
            </w:r>
            <w:r w:rsidR="00112A54">
              <w:rPr>
                <w:vertAlign w:val="superscript"/>
              </w:rPr>
              <w:t>3</w:t>
            </w:r>
            <w:r>
              <w:t xml:space="preserve"> </w:t>
            </w:r>
          </w:p>
        </w:tc>
        <w:tc>
          <w:tcPr>
            <w:tcW w:w="1457" w:type="dxa"/>
          </w:tcPr>
          <w:p w14:paraId="1D0BABB5" w14:textId="77777777" w:rsidR="007C3E85" w:rsidRPr="00730BFF" w:rsidRDefault="007C3E85" w:rsidP="001369DC">
            <w:pPr>
              <w:jc w:val="center"/>
            </w:pPr>
            <w:r>
              <w:t>CO</w:t>
            </w:r>
          </w:p>
        </w:tc>
        <w:tc>
          <w:tcPr>
            <w:tcW w:w="1912" w:type="dxa"/>
          </w:tcPr>
          <w:p w14:paraId="2194E66C" w14:textId="77777777" w:rsidR="00E301F2" w:rsidRDefault="007C3E85" w:rsidP="001369DC">
            <w:pPr>
              <w:jc w:val="center"/>
            </w:pPr>
            <w:r>
              <w:t>VOC</w:t>
            </w:r>
            <w:r>
              <w:t xml:space="preserve"> </w:t>
            </w:r>
          </w:p>
          <w:p w14:paraId="63C7069C" w14:textId="32D49CEC" w:rsidR="007C3E85" w:rsidRPr="000E010A" w:rsidRDefault="007C3E85" w:rsidP="001369DC">
            <w:pPr>
              <w:jc w:val="center"/>
              <w:rPr>
                <w:vertAlign w:val="superscript"/>
              </w:rPr>
            </w:pPr>
            <w:r>
              <w:t>(as NM-NEHC)</w:t>
            </w:r>
          </w:p>
        </w:tc>
        <w:tc>
          <w:tcPr>
            <w:tcW w:w="1710" w:type="dxa"/>
          </w:tcPr>
          <w:p w14:paraId="02CF7D9C" w14:textId="77777777" w:rsidR="00E301F2" w:rsidRDefault="00E301F2" w:rsidP="001369DC">
            <w:pPr>
              <w:jc w:val="center"/>
            </w:pPr>
            <w:r>
              <w:t>Formaldehyde</w:t>
            </w:r>
          </w:p>
          <w:p w14:paraId="65556FED" w14:textId="135A97D7" w:rsidR="007C3E85" w:rsidRPr="00730BFF" w:rsidRDefault="00E301F2" w:rsidP="001369DC">
            <w:pPr>
              <w:jc w:val="center"/>
            </w:pPr>
            <w:r>
              <w:t>(HCHO)</w:t>
            </w:r>
          </w:p>
        </w:tc>
        <w:tc>
          <w:tcPr>
            <w:tcW w:w="1980" w:type="dxa"/>
          </w:tcPr>
          <w:p w14:paraId="220445E8" w14:textId="418AB468" w:rsidR="007C3E85" w:rsidRPr="007C3E85" w:rsidRDefault="007C3E85" w:rsidP="001369DC">
            <w:pPr>
              <w:jc w:val="center"/>
            </w:pPr>
            <w:r>
              <w:t>NH</w:t>
            </w:r>
            <w:r>
              <w:rPr>
                <w:vertAlign w:val="subscript"/>
              </w:rPr>
              <w:t>3</w:t>
            </w:r>
            <w:r>
              <w:t xml:space="preserve"> Slip</w:t>
            </w:r>
          </w:p>
        </w:tc>
      </w:tr>
      <w:tr w:rsidR="007C3E85" w14:paraId="5A82ED2C" w14:textId="77777777" w:rsidTr="00E301F2">
        <w:tc>
          <w:tcPr>
            <w:tcW w:w="1671" w:type="dxa"/>
          </w:tcPr>
          <w:p w14:paraId="622EA02D" w14:textId="71ED25DC" w:rsidR="007C3E85" w:rsidRDefault="007C3E85" w:rsidP="001369DC">
            <w:pPr>
              <w:jc w:val="center"/>
            </w:pPr>
            <w:r>
              <w:t>0.07</w:t>
            </w:r>
          </w:p>
        </w:tc>
        <w:tc>
          <w:tcPr>
            <w:tcW w:w="1457" w:type="dxa"/>
          </w:tcPr>
          <w:p w14:paraId="31C3CA05" w14:textId="6EF5B8D5" w:rsidR="007C3E85" w:rsidRDefault="00E301F2" w:rsidP="001369DC">
            <w:pPr>
              <w:jc w:val="center"/>
            </w:pPr>
            <w:r>
              <w:t>0.2</w:t>
            </w:r>
          </w:p>
        </w:tc>
        <w:tc>
          <w:tcPr>
            <w:tcW w:w="1912" w:type="dxa"/>
          </w:tcPr>
          <w:p w14:paraId="3F29FC55" w14:textId="4223FFA7" w:rsidR="007C3E85" w:rsidRDefault="007C3E85" w:rsidP="001369DC">
            <w:pPr>
              <w:jc w:val="center"/>
            </w:pPr>
            <w:r>
              <w:t>0.</w:t>
            </w:r>
            <w:r w:rsidR="00E301F2">
              <w:t>125</w:t>
            </w:r>
          </w:p>
        </w:tc>
        <w:tc>
          <w:tcPr>
            <w:tcW w:w="1710" w:type="dxa"/>
          </w:tcPr>
          <w:p w14:paraId="48C20C8A" w14:textId="466D4ABC" w:rsidR="007C3E85" w:rsidRDefault="00E301F2" w:rsidP="001369DC">
            <w:pPr>
              <w:jc w:val="center"/>
            </w:pPr>
            <w:r>
              <w:t>0.072</w:t>
            </w:r>
          </w:p>
        </w:tc>
        <w:tc>
          <w:tcPr>
            <w:tcW w:w="1980" w:type="dxa"/>
          </w:tcPr>
          <w:p w14:paraId="47C137B5" w14:textId="43BEC522" w:rsidR="007C3E85" w:rsidRDefault="007C3E85" w:rsidP="001369DC">
            <w:pPr>
              <w:jc w:val="center"/>
            </w:pPr>
            <w:r>
              <w:t>10</w:t>
            </w:r>
          </w:p>
        </w:tc>
      </w:tr>
    </w:tbl>
    <w:p w14:paraId="2A3D4A2F" w14:textId="67F050D1" w:rsidR="007733D8" w:rsidRPr="00112A54" w:rsidRDefault="00112A54" w:rsidP="007733D8">
      <w:pPr>
        <w:ind w:left="720"/>
        <w:rPr>
          <w:sz w:val="20"/>
          <w:szCs w:val="20"/>
        </w:rPr>
      </w:pPr>
      <w:r>
        <w:rPr>
          <w:sz w:val="20"/>
          <w:szCs w:val="20"/>
          <w:vertAlign w:val="superscript"/>
        </w:rPr>
        <w:t>3</w:t>
      </w:r>
      <w:r>
        <w:rPr>
          <w:sz w:val="20"/>
          <w:szCs w:val="20"/>
        </w:rPr>
        <w:t>This is a streamlined emission limit. The requirements of 20 DCMR 805.7(a)(2) are less stringent than the manufacturer’s guarantee requested by the applicant and included pursuant to 20 DCMR 201. As such, compliance with this limit will ensure compliance with both regulations.</w:t>
      </w:r>
    </w:p>
    <w:p w14:paraId="72C6BC88" w14:textId="77777777" w:rsidR="00112A54" w:rsidRDefault="00112A54" w:rsidP="007733D8">
      <w:pPr>
        <w:ind w:left="720"/>
      </w:pPr>
    </w:p>
    <w:p w14:paraId="3476BFE5" w14:textId="011AB6A2" w:rsidR="00564065" w:rsidRDefault="007733D8" w:rsidP="00564065">
      <w:pPr>
        <w:numPr>
          <w:ilvl w:val="1"/>
          <w:numId w:val="2"/>
        </w:numPr>
        <w:ind w:left="720" w:hanging="720"/>
      </w:pPr>
      <w:r>
        <w:t>c.</w:t>
      </w:r>
      <w:r>
        <w:tab/>
      </w:r>
      <w:r w:rsidR="00564065" w:rsidRPr="006243B7">
        <w:t xml:space="preserve">Visible emissions shall </w:t>
      </w:r>
      <w:r w:rsidR="00564065">
        <w:t xml:space="preserve">not be emitted into the outdoor atmosphere from the </w:t>
      </w:r>
      <w:r w:rsidR="00704174">
        <w:t>generators</w:t>
      </w:r>
      <w:r w:rsidR="00564065">
        <w:t>,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14:paraId="4AAC809E" w14:textId="77777777" w:rsidR="00FE0FB2" w:rsidRDefault="00FE0FB2" w:rsidP="00FE0FB2">
      <w:pPr>
        <w:ind w:left="720"/>
      </w:pPr>
    </w:p>
    <w:p w14:paraId="56CF11BA" w14:textId="77777777" w:rsidR="00FE0FB2" w:rsidRPr="00FE0FB2" w:rsidRDefault="00FE0FB2" w:rsidP="00FE0FB2">
      <w:pPr>
        <w:ind w:left="720"/>
        <w:rPr>
          <w:i/>
        </w:rPr>
      </w:pPr>
      <w:r w:rsidRPr="00FE0FB2">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w:t>
      </w:r>
      <w:r>
        <w:rPr>
          <w:i/>
        </w:rPr>
        <w:t>b</w:t>
      </w:r>
      <w:r w:rsidRPr="00FE0FB2">
        <w:rPr>
          <w:i/>
        </w:rPr>
        <w:t>) as stated above.</w:t>
      </w:r>
    </w:p>
    <w:p w14:paraId="60E7EEBA" w14:textId="77777777" w:rsidR="00564065" w:rsidRPr="006243B7" w:rsidRDefault="00564065" w:rsidP="00564065">
      <w:pPr>
        <w:autoSpaceDE w:val="0"/>
        <w:autoSpaceDN w:val="0"/>
        <w:adjustRightInd w:val="0"/>
        <w:ind w:left="720" w:hanging="360"/>
      </w:pPr>
    </w:p>
    <w:p w14:paraId="3CBE2D76" w14:textId="5420AA04" w:rsidR="00564065" w:rsidRDefault="007733D8" w:rsidP="00564065">
      <w:pPr>
        <w:ind w:left="720" w:hanging="360"/>
      </w:pPr>
      <w:r>
        <w:t>d</w:t>
      </w:r>
      <w:r w:rsidR="00564065" w:rsidRPr="006243B7">
        <w:t>.</w:t>
      </w:r>
      <w:r w:rsidR="00564065"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66E2E42D" w14:textId="77777777" w:rsidR="0066238A" w:rsidRDefault="0066238A" w:rsidP="00564065">
      <w:pPr>
        <w:ind w:left="360" w:hanging="360"/>
      </w:pPr>
    </w:p>
    <w:p w14:paraId="29588A29" w14:textId="77777777" w:rsidR="00564065" w:rsidRPr="006243B7" w:rsidRDefault="00564065" w:rsidP="00564065">
      <w:pPr>
        <w:ind w:left="360" w:hanging="360"/>
      </w:pPr>
      <w:r w:rsidRPr="006243B7">
        <w:t>III.</w:t>
      </w:r>
      <w:r w:rsidRPr="006243B7">
        <w:tab/>
      </w:r>
      <w:r w:rsidRPr="006243B7">
        <w:rPr>
          <w:u w:val="single"/>
        </w:rPr>
        <w:t>Operational Limitations:</w:t>
      </w:r>
    </w:p>
    <w:p w14:paraId="44B90B61" w14:textId="77777777" w:rsidR="00564065" w:rsidRDefault="00564065" w:rsidP="00564065"/>
    <w:p w14:paraId="09F662D5" w14:textId="77777777" w:rsidR="00F80D46" w:rsidRDefault="00F80D46" w:rsidP="00F80D46">
      <w:pPr>
        <w:numPr>
          <w:ilvl w:val="1"/>
          <w:numId w:val="2"/>
        </w:numPr>
        <w:ind w:left="720" w:hanging="720"/>
      </w:pPr>
      <w:r>
        <w:t>a.</w:t>
      </w:r>
      <w:r>
        <w:tab/>
        <w:t xml:space="preserve">The </w:t>
      </w:r>
      <w:r w:rsidRPr="006243B7">
        <w:t>generator</w:t>
      </w:r>
      <w:r>
        <w:t>s</w:t>
      </w:r>
      <w:r w:rsidRPr="006243B7">
        <w:t xml:space="preserve"> shall </w:t>
      </w:r>
      <w:r w:rsidR="00F47A1F">
        <w:t>fire only natural gas</w:t>
      </w:r>
      <w:r w:rsidR="002A72A0">
        <w:t xml:space="preserve"> per the submitted plan and specifications</w:t>
      </w:r>
      <w:r w:rsidRPr="006243B7">
        <w:t>.</w:t>
      </w:r>
      <w:r w:rsidR="00F47A1F">
        <w:t xml:space="preserve"> [20 DCMR 200.6</w:t>
      </w:r>
      <w:r w:rsidR="002A72A0">
        <w:t xml:space="preserve"> and 20 DCMR 201</w:t>
      </w:r>
      <w:r w:rsidR="00F47A1F">
        <w:t>]</w:t>
      </w:r>
    </w:p>
    <w:p w14:paraId="4C3A29A5" w14:textId="77777777" w:rsidR="00F80D46" w:rsidRDefault="00F80D46" w:rsidP="00F80D46">
      <w:pPr>
        <w:ind w:left="720" w:hanging="360"/>
      </w:pPr>
    </w:p>
    <w:p w14:paraId="6E5C757B" w14:textId="21EF5FD9" w:rsidR="00F80D46" w:rsidRDefault="00F80D46" w:rsidP="00F80D46">
      <w:pPr>
        <w:ind w:left="720" w:hanging="360"/>
      </w:pPr>
      <w:r w:rsidRPr="006243B7">
        <w:t>b.</w:t>
      </w:r>
      <w:r w:rsidRPr="006243B7">
        <w:tab/>
      </w:r>
      <w:r w:rsidR="00F47A1F">
        <w:t>The generators shall be operated in accordance with the recommendations of the equipment manufacturer</w:t>
      </w:r>
      <w:r w:rsidR="00947D17">
        <w:t>s</w:t>
      </w:r>
      <w:r w:rsidR="00F47A1F">
        <w:t>.</w:t>
      </w:r>
      <w:r>
        <w:t xml:space="preserve"> [20 DCMR 201]</w:t>
      </w:r>
    </w:p>
    <w:p w14:paraId="773CC9EB" w14:textId="7B13EB25" w:rsidR="00750028" w:rsidRDefault="00750028" w:rsidP="00F80D46">
      <w:pPr>
        <w:ind w:left="720" w:hanging="360"/>
      </w:pPr>
    </w:p>
    <w:p w14:paraId="4630F3EF" w14:textId="76C2CA74" w:rsidR="00750028" w:rsidRDefault="00750028" w:rsidP="00750028">
      <w:pPr>
        <w:pStyle w:val="ListParagraph"/>
        <w:numPr>
          <w:ilvl w:val="1"/>
          <w:numId w:val="3"/>
        </w:numPr>
      </w:pPr>
      <w:r>
        <w:t xml:space="preserve">Except for the period during startup when the engine temperature is not yet high enough to support its operation, the Permittee shall ensure that a SCR system is installed and is </w:t>
      </w:r>
      <w:r>
        <w:lastRenderedPageBreak/>
        <w:t xml:space="preserve">operational and effective whenever an any of the CHP engines are operational. </w:t>
      </w:r>
      <w:r w:rsidR="00112A54">
        <w:t xml:space="preserve">SCR operation shall be initiated as soon as the control device operating temperature is reached. </w:t>
      </w:r>
      <w:r>
        <w:t>[20 DCMR 102.1</w:t>
      </w:r>
      <w:r w:rsidR="00112A54">
        <w:t xml:space="preserve"> and 20 DCMR 805.7(b)</w:t>
      </w:r>
      <w:r>
        <w:t>]</w:t>
      </w:r>
    </w:p>
    <w:p w14:paraId="6C13E804" w14:textId="77777777" w:rsidR="00F80D46" w:rsidRDefault="00F80D46" w:rsidP="00F80D46">
      <w:pPr>
        <w:ind w:left="720" w:hanging="360"/>
      </w:pPr>
    </w:p>
    <w:p w14:paraId="52B8D6DD" w14:textId="354800E7" w:rsidR="00F80D46" w:rsidRDefault="00750028" w:rsidP="00F80D46">
      <w:pPr>
        <w:ind w:left="720" w:hanging="360"/>
      </w:pPr>
      <w:r>
        <w:t>d</w:t>
      </w:r>
      <w:r w:rsidR="00F80D46" w:rsidRPr="006243B7">
        <w:t>.</w:t>
      </w:r>
      <w:r w:rsidR="00F80D46" w:rsidRPr="006243B7">
        <w:tab/>
      </w:r>
      <w:r w:rsidR="002A72A0">
        <w:t>A maintenance plan shall be maintained at the facility and followed</w:t>
      </w:r>
      <w:r w:rsidR="00F80D46">
        <w:t>. [40 CFR 60.4243(</w:t>
      </w:r>
      <w:r w:rsidR="002A72A0">
        <w:t>b)(2)(i</w:t>
      </w:r>
      <w:r w:rsidR="00EC55DE">
        <w:t>i</w:t>
      </w:r>
      <w:r w:rsidR="00F80D46">
        <w:t>)]</w:t>
      </w:r>
      <w:r w:rsidR="002A72A0">
        <w:t xml:space="preserve"> At a minimum the maintenance plan shall include all maintenance requirements recommended by the </w:t>
      </w:r>
      <w:r w:rsidR="00B00316">
        <w:t>engine, generator, and control device</w:t>
      </w:r>
      <w:r w:rsidR="002A72A0">
        <w:t xml:space="preserve"> manufacturer</w:t>
      </w:r>
      <w:r w:rsidR="00B00316">
        <w:t>s</w:t>
      </w:r>
      <w:r w:rsidR="002A72A0">
        <w:t>.</w:t>
      </w:r>
      <w:r w:rsidR="00B00316">
        <w:t xml:space="preserve"> [20 DCMR 201 and, complying per Condition IV(a)(1), 40 CFR</w:t>
      </w:r>
    </w:p>
    <w:p w14:paraId="1817CE67" w14:textId="77777777" w:rsidR="00F80D46" w:rsidRDefault="00F80D46" w:rsidP="00F80D46">
      <w:pPr>
        <w:ind w:left="1080" w:hanging="360"/>
      </w:pPr>
    </w:p>
    <w:p w14:paraId="64561165" w14:textId="64619A0E" w:rsidR="00F80D46" w:rsidRDefault="00750028" w:rsidP="00F80D46">
      <w:pPr>
        <w:ind w:left="720" w:hanging="360"/>
      </w:pPr>
      <w:r>
        <w:t>e</w:t>
      </w:r>
      <w:r w:rsidR="00F80D46" w:rsidRPr="006243B7">
        <w:t>.</w:t>
      </w:r>
      <w:r w:rsidR="00F80D46" w:rsidRPr="006243B7">
        <w:tab/>
      </w:r>
      <w:r w:rsidR="002A72A0" w:rsidRPr="006243B7">
        <w:t xml:space="preserve">At all times, including periods of startup, shutdown, and malfunction, the </w:t>
      </w:r>
      <w:r w:rsidR="002A72A0">
        <w:t>Permittee</w:t>
      </w:r>
      <w:r w:rsidR="002A72A0" w:rsidRPr="006243B7">
        <w:t xml:space="preserve"> shall, to the extent practicable, maintain and operate the unit</w:t>
      </w:r>
      <w:r w:rsidR="002A72A0">
        <w:t>s</w:t>
      </w:r>
      <w:r w:rsidR="002A72A0" w:rsidRPr="006243B7">
        <w:t xml:space="preserve"> in a manner consistent with good air pollution control practice for minimizing emissions</w:t>
      </w:r>
      <w:r w:rsidR="002A72A0">
        <w:t xml:space="preserve"> [40 CFR 60.4243(b)(2)(i</w:t>
      </w:r>
      <w:r w:rsidR="00EC55DE">
        <w:t>i</w:t>
      </w:r>
      <w:r w:rsidR="002A72A0">
        <w:t>)</w:t>
      </w:r>
      <w:r w:rsidR="00A65B73">
        <w:t xml:space="preserve"> and 20 DCMR 805.7(c)(2)</w:t>
      </w:r>
      <w:r w:rsidR="002A72A0">
        <w:t>]</w:t>
      </w:r>
      <w:r w:rsidR="002A72A0" w:rsidRPr="006243B7">
        <w:t>.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14:paraId="0F5FEEBE" w14:textId="11EC78ED" w:rsidR="00A65B73" w:rsidRDefault="00A65B73" w:rsidP="00F80D46">
      <w:pPr>
        <w:ind w:left="720" w:hanging="360"/>
      </w:pPr>
    </w:p>
    <w:p w14:paraId="37E7DDBC" w14:textId="5107349F" w:rsidR="00A65B73" w:rsidRDefault="00A65B73" w:rsidP="00F80D46">
      <w:pPr>
        <w:ind w:left="720" w:hanging="360"/>
      </w:pPr>
      <w:r>
        <w:t>f.</w:t>
      </w:r>
      <w:r>
        <w:tab/>
        <w:t>The following maintenance tasks must be performed in accordance with the manufacturer’s recommended schedules or in accordance with the requirements of 40 CFR 63, Subpart ZZZZ, whichever is more frequent</w:t>
      </w:r>
      <w:r w:rsidR="00371C7B">
        <w:t xml:space="preserve"> [20 DCMR 805.7(c)(4)]</w:t>
      </w:r>
      <w:r>
        <w:t>:</w:t>
      </w:r>
    </w:p>
    <w:p w14:paraId="67EAEB98" w14:textId="3A5D1557" w:rsidR="00A65B73" w:rsidRDefault="00A65B73" w:rsidP="00F80D46">
      <w:pPr>
        <w:ind w:left="720" w:hanging="360"/>
      </w:pPr>
    </w:p>
    <w:p w14:paraId="20086C65" w14:textId="10E66DA6" w:rsidR="00A65B73" w:rsidRDefault="00A65B73" w:rsidP="00A65B73">
      <w:pPr>
        <w:pStyle w:val="ListParagraph"/>
        <w:numPr>
          <w:ilvl w:val="2"/>
          <w:numId w:val="3"/>
        </w:numPr>
      </w:pPr>
      <w:r>
        <w:t>Change oil and filter;</w:t>
      </w:r>
    </w:p>
    <w:p w14:paraId="29DC2DE9" w14:textId="77777777" w:rsidR="00A65B73" w:rsidRDefault="00A65B73" w:rsidP="00A65B73">
      <w:pPr>
        <w:pStyle w:val="ListParagraph"/>
        <w:ind w:left="1080"/>
      </w:pPr>
    </w:p>
    <w:p w14:paraId="6C07D487" w14:textId="2BC672D4" w:rsidR="00A65B73" w:rsidRDefault="00A65B73" w:rsidP="00A65B73">
      <w:pPr>
        <w:pStyle w:val="ListParagraph"/>
        <w:numPr>
          <w:ilvl w:val="2"/>
          <w:numId w:val="3"/>
        </w:numPr>
      </w:pPr>
      <w:r>
        <w:t>Inspect the spark plugs; and</w:t>
      </w:r>
    </w:p>
    <w:p w14:paraId="03C8C52C" w14:textId="77777777" w:rsidR="00A65B73" w:rsidRDefault="00A65B73" w:rsidP="00A65B73">
      <w:pPr>
        <w:pStyle w:val="ListParagraph"/>
      </w:pPr>
    </w:p>
    <w:p w14:paraId="772FE749" w14:textId="5CA5E0F6" w:rsidR="00A65B73" w:rsidRDefault="00A65B73" w:rsidP="00A65B73">
      <w:pPr>
        <w:pStyle w:val="ListParagraph"/>
        <w:numPr>
          <w:ilvl w:val="2"/>
          <w:numId w:val="3"/>
        </w:numPr>
      </w:pPr>
      <w:r>
        <w:t>Inspect all hoses an</w:t>
      </w:r>
      <w:r w:rsidR="00371C7B">
        <w:t>d</w:t>
      </w:r>
      <w:r>
        <w:t xml:space="preserve"> belts.</w:t>
      </w:r>
    </w:p>
    <w:p w14:paraId="35BF5D4A" w14:textId="77777777" w:rsidR="00331E72" w:rsidRDefault="00331E72" w:rsidP="00331E72">
      <w:pPr>
        <w:pStyle w:val="ListParagraph"/>
      </w:pPr>
    </w:p>
    <w:p w14:paraId="62B430C2" w14:textId="20A8A29E" w:rsidR="00331E72" w:rsidRDefault="00331E72" w:rsidP="00331E72">
      <w:pPr>
        <w:pStyle w:val="ListParagraph"/>
        <w:numPr>
          <w:ilvl w:val="0"/>
          <w:numId w:val="1"/>
        </w:numPr>
      </w:pPr>
      <w:r>
        <w:t>The engines must each have an installed non-resettable hour meter. [20 DCMR 805.7(c)(1)]</w:t>
      </w:r>
    </w:p>
    <w:p w14:paraId="54E63093" w14:textId="77777777" w:rsidR="00F80D46" w:rsidRDefault="00F80D46" w:rsidP="00564065"/>
    <w:p w14:paraId="2F01036B" w14:textId="77777777" w:rsidR="00564065" w:rsidRPr="006243B7" w:rsidRDefault="00564065" w:rsidP="00564065">
      <w:pPr>
        <w:ind w:left="360" w:hanging="360"/>
      </w:pPr>
      <w:r w:rsidRPr="006243B7">
        <w:t>IV.</w:t>
      </w:r>
      <w:r w:rsidRPr="006243B7">
        <w:tab/>
      </w:r>
      <w:r w:rsidRPr="006243B7">
        <w:rPr>
          <w:u w:val="single"/>
        </w:rPr>
        <w:t>Monitoring and Testing Requirements:</w:t>
      </w:r>
    </w:p>
    <w:p w14:paraId="54ECD91E" w14:textId="77777777" w:rsidR="00897D38" w:rsidRDefault="00897D38" w:rsidP="00897D38">
      <w:pPr>
        <w:ind w:left="720" w:hanging="360"/>
        <w:contextualSpacing/>
      </w:pPr>
    </w:p>
    <w:p w14:paraId="6547FDAE" w14:textId="28F719DD" w:rsidR="00EC55DE" w:rsidRDefault="005371E7" w:rsidP="00897D38">
      <w:pPr>
        <w:ind w:left="720" w:hanging="360"/>
        <w:contextualSpacing/>
      </w:pPr>
      <w:r>
        <w:t>a.</w:t>
      </w:r>
      <w:r>
        <w:tab/>
      </w:r>
      <w:r w:rsidR="00EC55DE">
        <w:t>In order to show compliance with the requirements of Condition II(a), the Permittee shall do one of the following:</w:t>
      </w:r>
    </w:p>
    <w:p w14:paraId="2AA7F8AC" w14:textId="41BDFC75" w:rsidR="00EC55DE" w:rsidRDefault="00EC55DE" w:rsidP="00897D38">
      <w:pPr>
        <w:ind w:left="720" w:hanging="360"/>
        <w:contextualSpacing/>
      </w:pPr>
    </w:p>
    <w:p w14:paraId="308AF0AB" w14:textId="17ED99A7" w:rsidR="00EC55DE" w:rsidRDefault="00EC55DE" w:rsidP="00331E72">
      <w:pPr>
        <w:pStyle w:val="ListParagraph"/>
        <w:numPr>
          <w:ilvl w:val="2"/>
          <w:numId w:val="18"/>
        </w:numPr>
      </w:pPr>
      <w:r>
        <w:t>Prior to initial operation of any of the CHP units, the Permittee must provide documentation to the Department that the engine model/year has been certified with EPA to comply with the applicable emission requirement of 40 CFR 60, Subpart JJJJ. This shall be achieved with the submittal of an EPA Certificate of Conformity or other EPA documentation of the certification; or</w:t>
      </w:r>
    </w:p>
    <w:p w14:paraId="43E7CA23" w14:textId="77777777" w:rsidR="00EC55DE" w:rsidRDefault="00EC55DE" w:rsidP="00EC55DE">
      <w:pPr>
        <w:pStyle w:val="ListParagraph"/>
        <w:ind w:left="1080"/>
      </w:pPr>
    </w:p>
    <w:p w14:paraId="1D52250C" w14:textId="54CFB086" w:rsidR="005371E7" w:rsidRDefault="00EC55DE" w:rsidP="00331E72">
      <w:pPr>
        <w:pStyle w:val="ListParagraph"/>
        <w:numPr>
          <w:ilvl w:val="2"/>
          <w:numId w:val="18"/>
        </w:numPr>
      </w:pPr>
      <w:r>
        <w:t>If the engines have not been certified, the Permittee shall</w:t>
      </w:r>
      <w:r w:rsidR="00084611">
        <w:t>, w</w:t>
      </w:r>
      <w:r w:rsidR="005371E7">
        <w:t xml:space="preserve">ithin 60 days after </w:t>
      </w:r>
      <w:r w:rsidR="00084611">
        <w:t xml:space="preserve">achieving the maximum production rate or each CHP unit, but not later than 180 days </w:t>
      </w:r>
      <w:r w:rsidR="00084611">
        <w:lastRenderedPageBreak/>
        <w:t>after initial startup of the unit</w:t>
      </w:r>
      <w:r w:rsidR="005371E7">
        <w:t>, the Permittee shall demonstrate compliance with Condition II(a) of this permit by performing an initial performance test on each unit according to the following requirements [40 CFR 60.8 and 60.4243(b)(2)(i</w:t>
      </w:r>
      <w:r w:rsidR="00CE7ADA">
        <w:t>i</w:t>
      </w:r>
      <w:r w:rsidR="005371E7">
        <w:t xml:space="preserve">) and the requirements of Condition VI: </w:t>
      </w:r>
    </w:p>
    <w:p w14:paraId="2CB670D9" w14:textId="77777777" w:rsidR="005371E7" w:rsidRDefault="005371E7" w:rsidP="005371E7">
      <w:pPr>
        <w:ind w:left="720" w:hanging="360"/>
        <w:contextualSpacing/>
        <w:rPr>
          <w:i/>
        </w:rPr>
      </w:pPr>
    </w:p>
    <w:p w14:paraId="6E13FA10" w14:textId="30FB5E16" w:rsidR="005371E7" w:rsidRPr="005371E7" w:rsidRDefault="00CE7ADA" w:rsidP="00CE7ADA">
      <w:pPr>
        <w:pStyle w:val="BodyTextIndent2"/>
        <w:spacing w:after="0" w:line="240" w:lineRule="auto"/>
        <w:ind w:left="1440" w:hanging="360"/>
        <w:rPr>
          <w:szCs w:val="20"/>
        </w:rPr>
      </w:pPr>
      <w:r>
        <w:rPr>
          <w:szCs w:val="20"/>
        </w:rPr>
        <w:t>i</w:t>
      </w:r>
      <w:r w:rsidR="005371E7" w:rsidRPr="005371E7">
        <w:rPr>
          <w:szCs w:val="20"/>
        </w:rPr>
        <w:t>.</w:t>
      </w:r>
      <w:r w:rsidR="005371E7" w:rsidRPr="005371E7">
        <w:rPr>
          <w:szCs w:val="20"/>
        </w:rPr>
        <w:tab/>
        <w:t>The performance test must be conducted within 10 percent of 100 percent peak (or the highest achievable) load and according to the requirements of 40 CFR 60.8 and under the conditions and methods specified in Table 2 of 40 CFR 60, Subpart JJJJ [40 CFR 60.4244(a) and Table 2 of 40 CFR 60 Subpart JJJJ].</w:t>
      </w:r>
    </w:p>
    <w:p w14:paraId="0F6D31B9" w14:textId="77777777" w:rsidR="005371E7" w:rsidRPr="005371E7" w:rsidRDefault="005371E7" w:rsidP="00CE7ADA">
      <w:pPr>
        <w:ind w:left="1440" w:hanging="360"/>
        <w:rPr>
          <w:szCs w:val="20"/>
        </w:rPr>
      </w:pPr>
    </w:p>
    <w:p w14:paraId="6B194E10" w14:textId="7C1724F9" w:rsidR="005371E7" w:rsidRPr="005371E7" w:rsidRDefault="00CE7ADA" w:rsidP="00CE7ADA">
      <w:pPr>
        <w:ind w:left="1440" w:hanging="360"/>
        <w:rPr>
          <w:szCs w:val="20"/>
        </w:rPr>
      </w:pPr>
      <w:r>
        <w:rPr>
          <w:szCs w:val="20"/>
        </w:rPr>
        <w:t>ii</w:t>
      </w:r>
      <w:r w:rsidR="005371E7" w:rsidRPr="005371E7">
        <w:rPr>
          <w:szCs w:val="20"/>
        </w:rPr>
        <w:t>.</w:t>
      </w:r>
      <w:r w:rsidR="005371E7" w:rsidRPr="005371E7">
        <w:rPr>
          <w:szCs w:val="20"/>
        </w:rPr>
        <w:tab/>
        <w:t>The performance test shall not be conducted during periods of startup, shutdown, or malfunction as specified in 40 CFR 60.8(c). If the generator to be tested is non-operational, it is not necessary to start up the engine solely to conduct the performance test; however, the performance test must be conducted immediately upon startup of the engine.</w:t>
      </w:r>
    </w:p>
    <w:p w14:paraId="44D49D12" w14:textId="77777777" w:rsidR="005371E7" w:rsidRPr="005371E7" w:rsidRDefault="005371E7" w:rsidP="00CE7ADA">
      <w:pPr>
        <w:ind w:left="1440" w:hanging="360"/>
        <w:rPr>
          <w:szCs w:val="20"/>
        </w:rPr>
      </w:pPr>
    </w:p>
    <w:p w14:paraId="2B9A8CB0" w14:textId="6D9A115C" w:rsidR="005371E7" w:rsidRPr="005371E7" w:rsidRDefault="00CE7ADA" w:rsidP="00CE7ADA">
      <w:pPr>
        <w:ind w:left="1440" w:hanging="360"/>
        <w:rPr>
          <w:szCs w:val="20"/>
        </w:rPr>
      </w:pPr>
      <w:r>
        <w:rPr>
          <w:szCs w:val="20"/>
        </w:rPr>
        <w:t>iii</w:t>
      </w:r>
      <w:r w:rsidR="005371E7" w:rsidRPr="005371E7">
        <w:rPr>
          <w:szCs w:val="20"/>
        </w:rPr>
        <w:t>.</w:t>
      </w:r>
      <w:r w:rsidR="005371E7" w:rsidRPr="005371E7">
        <w:rPr>
          <w:szCs w:val="20"/>
        </w:rPr>
        <w:tab/>
        <w:t xml:space="preserve">Three separate test runs shall be performed for each performance test required in this section as specified in 40 CFR 60.8(f). Each test run must be conducted within 10 percent </w:t>
      </w:r>
      <w:r w:rsidR="005371E7">
        <w:rPr>
          <w:szCs w:val="20"/>
        </w:rPr>
        <w:t>o</w:t>
      </w:r>
      <w:r w:rsidR="005371E7" w:rsidRPr="005371E7">
        <w:rPr>
          <w:szCs w:val="20"/>
        </w:rPr>
        <w:t>f 100 percent peak (or the highest achievable) load and last at least one hour.</w:t>
      </w:r>
    </w:p>
    <w:p w14:paraId="63140AE9" w14:textId="77777777" w:rsidR="005371E7" w:rsidRPr="005371E7" w:rsidRDefault="005371E7" w:rsidP="00CE7ADA">
      <w:pPr>
        <w:ind w:left="1440" w:hanging="360"/>
        <w:rPr>
          <w:szCs w:val="20"/>
        </w:rPr>
      </w:pPr>
    </w:p>
    <w:p w14:paraId="12F377B8" w14:textId="3287B8FA" w:rsidR="005371E7" w:rsidRPr="005371E7" w:rsidRDefault="00CE7ADA" w:rsidP="00CE7ADA">
      <w:pPr>
        <w:ind w:left="1440" w:hanging="360"/>
        <w:rPr>
          <w:szCs w:val="20"/>
        </w:rPr>
      </w:pPr>
      <w:r>
        <w:rPr>
          <w:szCs w:val="20"/>
        </w:rPr>
        <w:t>iv</w:t>
      </w:r>
      <w:r w:rsidR="005371E7" w:rsidRPr="005371E7">
        <w:rPr>
          <w:szCs w:val="20"/>
        </w:rPr>
        <w:t>.</w:t>
      </w:r>
      <w:r w:rsidR="005371E7" w:rsidRPr="005371E7">
        <w:rPr>
          <w:szCs w:val="20"/>
        </w:rPr>
        <w:tab/>
        <w:t>To determine compliance with the NO</w:t>
      </w:r>
      <w:r w:rsidR="005371E7" w:rsidRPr="005371E7">
        <w:rPr>
          <w:szCs w:val="20"/>
          <w:vertAlign w:val="subscript"/>
        </w:rPr>
        <w:t>x</w:t>
      </w:r>
      <w:r w:rsidR="005371E7" w:rsidRPr="005371E7">
        <w:rPr>
          <w:szCs w:val="20"/>
        </w:rPr>
        <w:t xml:space="preserve"> mass per unit output emission limitation, convert the concentration of NO</w:t>
      </w:r>
      <w:r w:rsidR="005371E7" w:rsidRPr="005371E7">
        <w:rPr>
          <w:szCs w:val="20"/>
          <w:vertAlign w:val="subscript"/>
        </w:rPr>
        <w:t>x</w:t>
      </w:r>
      <w:r w:rsidR="005371E7" w:rsidRPr="005371E7">
        <w:rPr>
          <w:szCs w:val="20"/>
        </w:rPr>
        <w:t xml:space="preserve"> in the engine exhaust using the following equation:</w:t>
      </w:r>
    </w:p>
    <w:p w14:paraId="214496FA" w14:textId="77777777" w:rsidR="005371E7" w:rsidRPr="005371E7" w:rsidRDefault="005371E7" w:rsidP="005371E7">
      <w:pPr>
        <w:ind w:left="1080" w:hanging="360"/>
        <w:rPr>
          <w:szCs w:val="20"/>
        </w:rPr>
      </w:pPr>
    </w:p>
    <w:p w14:paraId="5F60B316" w14:textId="77777777" w:rsidR="005371E7" w:rsidRPr="005371E7" w:rsidRDefault="005371E7" w:rsidP="00CE7ADA">
      <w:pPr>
        <w:ind w:left="1440"/>
        <w:rPr>
          <w:szCs w:val="20"/>
        </w:rPr>
      </w:pPr>
      <w:r w:rsidRPr="005371E7">
        <w:rPr>
          <w:position w:val="-24"/>
          <w:szCs w:val="20"/>
        </w:rPr>
        <w:object w:dxaOrig="2688" w:dyaOrig="660" w14:anchorId="2FAA3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33pt" o:ole="" fillcolor="window">
            <v:imagedata r:id="rId8" o:title=""/>
          </v:shape>
          <o:OLEObject Type="Embed" ProgID="Equation.3" ShapeID="_x0000_i1025" DrawAspect="Content" ObjectID="_1742740079" r:id="rId9"/>
        </w:object>
      </w:r>
    </w:p>
    <w:p w14:paraId="1BC32AA9" w14:textId="77777777" w:rsidR="005371E7" w:rsidRPr="005371E7" w:rsidRDefault="005371E7" w:rsidP="00CE7ADA">
      <w:pPr>
        <w:ind w:left="1440" w:hanging="360"/>
        <w:rPr>
          <w:szCs w:val="20"/>
        </w:rPr>
      </w:pPr>
    </w:p>
    <w:p w14:paraId="29485CCE" w14:textId="77777777" w:rsidR="005371E7" w:rsidRPr="005371E7" w:rsidRDefault="005371E7" w:rsidP="00CE7ADA">
      <w:pPr>
        <w:ind w:left="1440"/>
        <w:rPr>
          <w:szCs w:val="20"/>
        </w:rPr>
      </w:pPr>
      <w:r w:rsidRPr="005371E7">
        <w:rPr>
          <w:szCs w:val="20"/>
        </w:rPr>
        <w:t>Where:</w:t>
      </w:r>
    </w:p>
    <w:p w14:paraId="581D0248" w14:textId="77777777" w:rsidR="005371E7" w:rsidRPr="005371E7" w:rsidRDefault="005371E7" w:rsidP="00CE7ADA">
      <w:pPr>
        <w:ind w:left="1800" w:hanging="360"/>
        <w:rPr>
          <w:szCs w:val="20"/>
        </w:rPr>
      </w:pPr>
      <w:r w:rsidRPr="005371E7">
        <w:rPr>
          <w:szCs w:val="20"/>
        </w:rPr>
        <w:t>ER = Emission rate of NO</w:t>
      </w:r>
      <w:r w:rsidRPr="005371E7">
        <w:rPr>
          <w:szCs w:val="20"/>
          <w:vertAlign w:val="subscript"/>
        </w:rPr>
        <w:t>x</w:t>
      </w:r>
      <w:r w:rsidRPr="005371E7">
        <w:rPr>
          <w:szCs w:val="20"/>
        </w:rPr>
        <w:t xml:space="preserve"> in g/HP-hr.</w:t>
      </w:r>
    </w:p>
    <w:p w14:paraId="6BED6DE1" w14:textId="77777777" w:rsidR="005371E7" w:rsidRPr="005371E7" w:rsidRDefault="005371E7" w:rsidP="00CE7ADA">
      <w:pPr>
        <w:ind w:left="1800" w:hanging="360"/>
        <w:rPr>
          <w:szCs w:val="20"/>
        </w:rPr>
      </w:pPr>
      <w:r w:rsidRPr="005371E7">
        <w:rPr>
          <w:szCs w:val="20"/>
        </w:rPr>
        <w:t>C</w:t>
      </w:r>
      <w:r w:rsidRPr="005371E7">
        <w:rPr>
          <w:szCs w:val="20"/>
          <w:vertAlign w:val="subscript"/>
        </w:rPr>
        <w:t>d</w:t>
      </w:r>
      <w:r w:rsidRPr="005371E7">
        <w:rPr>
          <w:szCs w:val="20"/>
        </w:rPr>
        <w:t xml:space="preserve"> = Measured NO</w:t>
      </w:r>
      <w:r w:rsidRPr="005371E7">
        <w:rPr>
          <w:szCs w:val="20"/>
          <w:vertAlign w:val="subscript"/>
        </w:rPr>
        <w:t>x</w:t>
      </w:r>
      <w:r w:rsidRPr="005371E7">
        <w:rPr>
          <w:szCs w:val="20"/>
        </w:rPr>
        <w:t xml:space="preserve"> concentration in parts per million by volume (ppmv).</w:t>
      </w:r>
    </w:p>
    <w:p w14:paraId="0E9D35E5" w14:textId="77777777" w:rsidR="005371E7" w:rsidRPr="005371E7" w:rsidRDefault="005371E7" w:rsidP="00CE7ADA">
      <w:pPr>
        <w:ind w:left="1800" w:hanging="360"/>
        <w:rPr>
          <w:szCs w:val="20"/>
        </w:rPr>
      </w:pPr>
      <w:r w:rsidRPr="005371E7">
        <w:rPr>
          <w:szCs w:val="20"/>
        </w:rPr>
        <w:t>1.912x10</w:t>
      </w:r>
      <w:r w:rsidRPr="005371E7">
        <w:rPr>
          <w:szCs w:val="20"/>
          <w:vertAlign w:val="superscript"/>
        </w:rPr>
        <w:t>-3</w:t>
      </w:r>
      <w:r w:rsidRPr="005371E7">
        <w:rPr>
          <w:szCs w:val="20"/>
        </w:rPr>
        <w:t xml:space="preserve"> = Conversion constant for ppm NO</w:t>
      </w:r>
      <w:r w:rsidRPr="005371E7">
        <w:rPr>
          <w:szCs w:val="20"/>
          <w:vertAlign w:val="subscript"/>
        </w:rPr>
        <w:t>x</w:t>
      </w:r>
      <w:r w:rsidRPr="005371E7">
        <w:rPr>
          <w:szCs w:val="20"/>
        </w:rPr>
        <w:t xml:space="preserve"> to grams per standard cubic meter at 20 degrees Celsius.</w:t>
      </w:r>
    </w:p>
    <w:p w14:paraId="40294E0F" w14:textId="77777777" w:rsidR="005371E7" w:rsidRPr="005371E7" w:rsidRDefault="005371E7" w:rsidP="00CE7ADA">
      <w:pPr>
        <w:ind w:left="1800" w:hanging="360"/>
        <w:rPr>
          <w:szCs w:val="20"/>
        </w:rPr>
      </w:pPr>
      <w:r w:rsidRPr="005371E7">
        <w:rPr>
          <w:szCs w:val="20"/>
        </w:rPr>
        <w:t>Q = Stack gas volumetric flow rate, in standard cubic meter per hour, dry basis.</w:t>
      </w:r>
    </w:p>
    <w:p w14:paraId="0BA47450" w14:textId="77777777" w:rsidR="005371E7" w:rsidRPr="005371E7" w:rsidRDefault="005371E7" w:rsidP="00CE7ADA">
      <w:pPr>
        <w:ind w:left="1800" w:hanging="360"/>
        <w:rPr>
          <w:szCs w:val="20"/>
        </w:rPr>
      </w:pPr>
      <w:r w:rsidRPr="005371E7">
        <w:rPr>
          <w:szCs w:val="20"/>
        </w:rPr>
        <w:t>T = Time of test run, in hours.</w:t>
      </w:r>
    </w:p>
    <w:p w14:paraId="3F0ED2E4" w14:textId="77777777" w:rsidR="005371E7" w:rsidRPr="005371E7" w:rsidRDefault="005371E7" w:rsidP="00CE7ADA">
      <w:pPr>
        <w:ind w:left="1800" w:hanging="360"/>
        <w:rPr>
          <w:szCs w:val="20"/>
        </w:rPr>
      </w:pPr>
      <w:r w:rsidRPr="005371E7">
        <w:rPr>
          <w:szCs w:val="20"/>
        </w:rPr>
        <w:t>HP-hr = Brake work of the engine, horsepower-hour (HP-hr).</w:t>
      </w:r>
    </w:p>
    <w:p w14:paraId="36BD46A7" w14:textId="77777777" w:rsidR="005371E7" w:rsidRPr="005371E7" w:rsidRDefault="005371E7" w:rsidP="005371E7">
      <w:pPr>
        <w:ind w:left="1080"/>
        <w:rPr>
          <w:szCs w:val="20"/>
        </w:rPr>
      </w:pPr>
    </w:p>
    <w:p w14:paraId="164C35A2" w14:textId="17539F82" w:rsidR="005371E7" w:rsidRPr="005371E7" w:rsidRDefault="00CE7ADA" w:rsidP="00CE7ADA">
      <w:pPr>
        <w:ind w:left="1440" w:hanging="360"/>
        <w:rPr>
          <w:szCs w:val="20"/>
        </w:rPr>
      </w:pPr>
      <w:r>
        <w:rPr>
          <w:szCs w:val="20"/>
        </w:rPr>
        <w:t>v</w:t>
      </w:r>
      <w:r w:rsidR="005371E7" w:rsidRPr="005371E7">
        <w:rPr>
          <w:szCs w:val="20"/>
        </w:rPr>
        <w:t>.</w:t>
      </w:r>
      <w:r w:rsidR="005371E7" w:rsidRPr="005371E7">
        <w:rPr>
          <w:szCs w:val="20"/>
        </w:rPr>
        <w:tab/>
        <w:t>To determine compliance with the CO mass per unit output emission limi</w:t>
      </w:r>
      <w:r w:rsidR="005371E7">
        <w:rPr>
          <w:szCs w:val="20"/>
        </w:rPr>
        <w:t>tation, convert the concentratio</w:t>
      </w:r>
      <w:r w:rsidR="005371E7" w:rsidRPr="005371E7">
        <w:rPr>
          <w:szCs w:val="20"/>
        </w:rPr>
        <w:t>n of CO in the engine exhaust using the following equation:</w:t>
      </w:r>
    </w:p>
    <w:p w14:paraId="04B24DD7" w14:textId="77777777" w:rsidR="005371E7" w:rsidRPr="005371E7" w:rsidRDefault="005371E7" w:rsidP="005371E7">
      <w:pPr>
        <w:ind w:left="1080" w:hanging="360"/>
        <w:rPr>
          <w:szCs w:val="20"/>
        </w:rPr>
      </w:pPr>
    </w:p>
    <w:p w14:paraId="4760D73E" w14:textId="77777777" w:rsidR="005371E7" w:rsidRPr="005371E7" w:rsidRDefault="005371E7" w:rsidP="00CE7ADA">
      <w:pPr>
        <w:ind w:left="1440"/>
        <w:rPr>
          <w:szCs w:val="20"/>
        </w:rPr>
      </w:pPr>
      <w:r w:rsidRPr="005371E7">
        <w:rPr>
          <w:position w:val="-24"/>
          <w:szCs w:val="20"/>
        </w:rPr>
        <w:object w:dxaOrig="2676" w:dyaOrig="660" w14:anchorId="300437B3">
          <v:shape id="_x0000_i1026" type="#_x0000_t75" style="width:133.5pt;height:33pt" o:ole="" fillcolor="window">
            <v:imagedata r:id="rId10" o:title=""/>
          </v:shape>
          <o:OLEObject Type="Embed" ProgID="Equation.3" ShapeID="_x0000_i1026" DrawAspect="Content" ObjectID="_1742740080" r:id="rId11"/>
        </w:object>
      </w:r>
    </w:p>
    <w:p w14:paraId="692E50D2" w14:textId="77777777" w:rsidR="005371E7" w:rsidRPr="005371E7" w:rsidRDefault="005371E7" w:rsidP="005371E7">
      <w:pPr>
        <w:ind w:left="1080" w:hanging="360"/>
        <w:rPr>
          <w:szCs w:val="20"/>
        </w:rPr>
      </w:pPr>
    </w:p>
    <w:p w14:paraId="30DF6653" w14:textId="77777777" w:rsidR="005371E7" w:rsidRPr="005371E7" w:rsidRDefault="005371E7" w:rsidP="00CE7ADA">
      <w:pPr>
        <w:ind w:left="1440"/>
        <w:rPr>
          <w:szCs w:val="20"/>
        </w:rPr>
      </w:pPr>
      <w:r w:rsidRPr="005371E7">
        <w:rPr>
          <w:szCs w:val="20"/>
        </w:rPr>
        <w:t>Where:</w:t>
      </w:r>
    </w:p>
    <w:p w14:paraId="0565566C" w14:textId="77777777" w:rsidR="005371E7" w:rsidRPr="005371E7" w:rsidRDefault="005371E7" w:rsidP="00CE7ADA">
      <w:pPr>
        <w:ind w:left="1800" w:hanging="360"/>
        <w:rPr>
          <w:szCs w:val="20"/>
        </w:rPr>
      </w:pPr>
      <w:r w:rsidRPr="005371E7">
        <w:rPr>
          <w:szCs w:val="20"/>
        </w:rPr>
        <w:t>ER = Emission rate of CO in g/HP-hr.</w:t>
      </w:r>
    </w:p>
    <w:p w14:paraId="1BB11FAA" w14:textId="77777777" w:rsidR="005371E7" w:rsidRPr="005371E7" w:rsidRDefault="005371E7" w:rsidP="00CE7ADA">
      <w:pPr>
        <w:ind w:left="1800" w:hanging="360"/>
        <w:rPr>
          <w:szCs w:val="20"/>
        </w:rPr>
      </w:pPr>
      <w:r w:rsidRPr="005371E7">
        <w:rPr>
          <w:szCs w:val="20"/>
        </w:rPr>
        <w:t>C</w:t>
      </w:r>
      <w:r w:rsidRPr="005371E7">
        <w:rPr>
          <w:szCs w:val="20"/>
          <w:vertAlign w:val="subscript"/>
        </w:rPr>
        <w:t>d</w:t>
      </w:r>
      <w:r w:rsidRPr="005371E7">
        <w:rPr>
          <w:szCs w:val="20"/>
        </w:rPr>
        <w:t xml:space="preserve"> = Measured CO concentration in ppmv.</w:t>
      </w:r>
    </w:p>
    <w:p w14:paraId="75187999" w14:textId="77777777" w:rsidR="005371E7" w:rsidRPr="005371E7" w:rsidRDefault="005371E7" w:rsidP="00CE7ADA">
      <w:pPr>
        <w:ind w:left="1800" w:hanging="360"/>
        <w:rPr>
          <w:szCs w:val="20"/>
        </w:rPr>
      </w:pPr>
      <w:r w:rsidRPr="005371E7">
        <w:rPr>
          <w:szCs w:val="20"/>
        </w:rPr>
        <w:t>1.164x10</w:t>
      </w:r>
      <w:r w:rsidRPr="005371E7">
        <w:rPr>
          <w:szCs w:val="20"/>
          <w:vertAlign w:val="superscript"/>
        </w:rPr>
        <w:t>-3</w:t>
      </w:r>
      <w:r w:rsidRPr="005371E7">
        <w:rPr>
          <w:szCs w:val="20"/>
        </w:rPr>
        <w:t xml:space="preserve"> = Conversion constant for ppm CO to grams per standard cubic meter at 20 degrees Celsius.</w:t>
      </w:r>
    </w:p>
    <w:p w14:paraId="46FDCF4E" w14:textId="77777777" w:rsidR="005371E7" w:rsidRPr="005371E7" w:rsidRDefault="005371E7" w:rsidP="00CE7ADA">
      <w:pPr>
        <w:ind w:left="1800" w:hanging="360"/>
        <w:rPr>
          <w:szCs w:val="20"/>
        </w:rPr>
      </w:pPr>
      <w:r w:rsidRPr="005371E7">
        <w:rPr>
          <w:szCs w:val="20"/>
        </w:rPr>
        <w:t>Q = Stack gas volumetric flow rate, in standard cubic meters per hour, dry basis.</w:t>
      </w:r>
    </w:p>
    <w:p w14:paraId="1206AC65" w14:textId="77777777" w:rsidR="005371E7" w:rsidRPr="005371E7" w:rsidRDefault="005371E7" w:rsidP="00CE7ADA">
      <w:pPr>
        <w:ind w:left="1800" w:hanging="360"/>
        <w:rPr>
          <w:szCs w:val="20"/>
        </w:rPr>
      </w:pPr>
      <w:r w:rsidRPr="005371E7">
        <w:rPr>
          <w:szCs w:val="20"/>
        </w:rPr>
        <w:t>T = Time of test run, in hours.</w:t>
      </w:r>
    </w:p>
    <w:p w14:paraId="251055FE" w14:textId="77777777" w:rsidR="005371E7" w:rsidRPr="005371E7" w:rsidRDefault="005371E7" w:rsidP="00CE7ADA">
      <w:pPr>
        <w:ind w:left="1800" w:hanging="360"/>
        <w:rPr>
          <w:szCs w:val="20"/>
        </w:rPr>
      </w:pPr>
      <w:r w:rsidRPr="005371E7">
        <w:rPr>
          <w:szCs w:val="20"/>
        </w:rPr>
        <w:t>HP-hr = Brake work of the engine in HP-hr.</w:t>
      </w:r>
    </w:p>
    <w:p w14:paraId="7EBFA6B2" w14:textId="77777777" w:rsidR="005371E7" w:rsidRPr="005371E7" w:rsidRDefault="005371E7" w:rsidP="005371E7">
      <w:pPr>
        <w:ind w:left="1080"/>
        <w:rPr>
          <w:szCs w:val="20"/>
        </w:rPr>
      </w:pPr>
    </w:p>
    <w:p w14:paraId="196AE810" w14:textId="3E3965EA" w:rsidR="005371E7" w:rsidRPr="005371E7" w:rsidRDefault="00CE7ADA" w:rsidP="00CE7ADA">
      <w:pPr>
        <w:tabs>
          <w:tab w:val="left" w:pos="1440"/>
        </w:tabs>
        <w:ind w:left="1440" w:hanging="360"/>
        <w:rPr>
          <w:szCs w:val="20"/>
        </w:rPr>
      </w:pPr>
      <w:r>
        <w:rPr>
          <w:szCs w:val="20"/>
        </w:rPr>
        <w:t>vi</w:t>
      </w:r>
      <w:r w:rsidR="005371E7">
        <w:rPr>
          <w:szCs w:val="20"/>
        </w:rPr>
        <w:t>.</w:t>
      </w:r>
      <w:r w:rsidR="005371E7">
        <w:rPr>
          <w:szCs w:val="20"/>
        </w:rPr>
        <w:tab/>
        <w:t xml:space="preserve">For purposes of </w:t>
      </w:r>
      <w:r w:rsidR="00084611">
        <w:rPr>
          <w:szCs w:val="20"/>
        </w:rPr>
        <w:t>compliance with Condition II(a)</w:t>
      </w:r>
      <w:r w:rsidR="005371E7" w:rsidRPr="005371E7">
        <w:rPr>
          <w:szCs w:val="20"/>
        </w:rPr>
        <w:t xml:space="preserve"> and 40 CFR 60, Subpart JJJJ, when calculating emissions of VOC, emissions of formaldehyde should not be included. To determine compliance with the VOC mass per unit output emission limitation, convert the concentration of VOC in the engine exhaust using the following equation:</w:t>
      </w:r>
    </w:p>
    <w:p w14:paraId="355568C8" w14:textId="77777777" w:rsidR="005371E7" w:rsidRPr="005371E7" w:rsidRDefault="005371E7" w:rsidP="005371E7">
      <w:pPr>
        <w:ind w:left="1080" w:hanging="360"/>
        <w:rPr>
          <w:szCs w:val="20"/>
        </w:rPr>
      </w:pPr>
    </w:p>
    <w:p w14:paraId="28A198A0" w14:textId="77777777" w:rsidR="005371E7" w:rsidRPr="005371E7" w:rsidRDefault="005371E7" w:rsidP="00CE7ADA">
      <w:pPr>
        <w:ind w:left="1440"/>
        <w:rPr>
          <w:szCs w:val="20"/>
        </w:rPr>
      </w:pPr>
      <w:r w:rsidRPr="005371E7">
        <w:rPr>
          <w:position w:val="-24"/>
          <w:szCs w:val="20"/>
        </w:rPr>
        <w:object w:dxaOrig="2676" w:dyaOrig="660" w14:anchorId="2CD9ABD7">
          <v:shape id="_x0000_i1027" type="#_x0000_t75" style="width:133.5pt;height:33pt" o:ole="" fillcolor="window">
            <v:imagedata r:id="rId12" o:title=""/>
          </v:shape>
          <o:OLEObject Type="Embed" ProgID="Equation.3" ShapeID="_x0000_i1027" DrawAspect="Content" ObjectID="_1742740081" r:id="rId13"/>
        </w:object>
      </w:r>
    </w:p>
    <w:p w14:paraId="5A68EF0A" w14:textId="77777777" w:rsidR="005371E7" w:rsidRPr="005371E7" w:rsidRDefault="005371E7" w:rsidP="005371E7">
      <w:pPr>
        <w:ind w:left="1080"/>
        <w:rPr>
          <w:szCs w:val="20"/>
        </w:rPr>
      </w:pPr>
    </w:p>
    <w:p w14:paraId="06A74653" w14:textId="77777777" w:rsidR="005371E7" w:rsidRPr="005371E7" w:rsidRDefault="005371E7" w:rsidP="00CE7ADA">
      <w:pPr>
        <w:ind w:left="1440"/>
        <w:rPr>
          <w:szCs w:val="20"/>
        </w:rPr>
      </w:pPr>
      <w:r w:rsidRPr="005371E7">
        <w:rPr>
          <w:szCs w:val="20"/>
        </w:rPr>
        <w:t>Where:</w:t>
      </w:r>
    </w:p>
    <w:p w14:paraId="5A41A303" w14:textId="77777777" w:rsidR="005371E7" w:rsidRPr="005371E7" w:rsidRDefault="005371E7" w:rsidP="00750028">
      <w:pPr>
        <w:ind w:left="1800" w:hanging="360"/>
        <w:rPr>
          <w:szCs w:val="20"/>
        </w:rPr>
      </w:pPr>
      <w:r w:rsidRPr="005371E7">
        <w:rPr>
          <w:szCs w:val="20"/>
        </w:rPr>
        <w:t>ER = Emission rate of VOC in g/HP-hr.</w:t>
      </w:r>
    </w:p>
    <w:p w14:paraId="23178129" w14:textId="77777777" w:rsidR="005371E7" w:rsidRPr="005371E7" w:rsidRDefault="005371E7" w:rsidP="00750028">
      <w:pPr>
        <w:ind w:left="1800" w:hanging="360"/>
        <w:rPr>
          <w:szCs w:val="20"/>
        </w:rPr>
      </w:pPr>
      <w:r w:rsidRPr="005371E7">
        <w:rPr>
          <w:szCs w:val="20"/>
        </w:rPr>
        <w:t>C</w:t>
      </w:r>
      <w:r w:rsidRPr="005371E7">
        <w:rPr>
          <w:szCs w:val="20"/>
          <w:vertAlign w:val="subscript"/>
        </w:rPr>
        <w:t>d</w:t>
      </w:r>
      <w:r w:rsidRPr="005371E7">
        <w:rPr>
          <w:szCs w:val="20"/>
        </w:rPr>
        <w:t xml:space="preserve"> = VOC concentration measured as propane in ppmv.</w:t>
      </w:r>
    </w:p>
    <w:p w14:paraId="57C2B7EB" w14:textId="77777777" w:rsidR="005371E7" w:rsidRPr="005371E7" w:rsidRDefault="005371E7" w:rsidP="00750028">
      <w:pPr>
        <w:ind w:left="1800" w:hanging="360"/>
        <w:rPr>
          <w:szCs w:val="20"/>
        </w:rPr>
      </w:pPr>
      <w:r w:rsidRPr="005371E7">
        <w:rPr>
          <w:szCs w:val="20"/>
        </w:rPr>
        <w:t>1.833x10</w:t>
      </w:r>
      <w:r w:rsidRPr="005371E7">
        <w:rPr>
          <w:szCs w:val="20"/>
          <w:vertAlign w:val="superscript"/>
        </w:rPr>
        <w:t>-3</w:t>
      </w:r>
      <w:r w:rsidRPr="005371E7">
        <w:rPr>
          <w:szCs w:val="20"/>
        </w:rPr>
        <w:t xml:space="preserve"> = Conversion constant for ppm VOC measured as propane, to grams per standard cubic meter at 20 degrees Celsius.</w:t>
      </w:r>
    </w:p>
    <w:p w14:paraId="64168AC9" w14:textId="77777777" w:rsidR="005371E7" w:rsidRPr="005371E7" w:rsidRDefault="005371E7" w:rsidP="00750028">
      <w:pPr>
        <w:ind w:left="1800" w:hanging="360"/>
        <w:rPr>
          <w:szCs w:val="20"/>
        </w:rPr>
      </w:pPr>
      <w:r w:rsidRPr="005371E7">
        <w:rPr>
          <w:szCs w:val="20"/>
        </w:rPr>
        <w:t>Q = Stack gas volumetric flow rate, in standard cubic meters per hour, dry basis.</w:t>
      </w:r>
    </w:p>
    <w:p w14:paraId="4FD727BF" w14:textId="77777777" w:rsidR="005371E7" w:rsidRPr="005371E7" w:rsidRDefault="005371E7" w:rsidP="00750028">
      <w:pPr>
        <w:ind w:left="1800" w:hanging="360"/>
        <w:rPr>
          <w:szCs w:val="20"/>
        </w:rPr>
      </w:pPr>
      <w:r w:rsidRPr="005371E7">
        <w:rPr>
          <w:szCs w:val="20"/>
        </w:rPr>
        <w:t>T = Time of test run, in hours.</w:t>
      </w:r>
    </w:p>
    <w:p w14:paraId="0C1CA55A" w14:textId="77777777" w:rsidR="005371E7" w:rsidRPr="005371E7" w:rsidRDefault="005371E7" w:rsidP="00750028">
      <w:pPr>
        <w:ind w:left="1800" w:hanging="360"/>
        <w:rPr>
          <w:szCs w:val="20"/>
        </w:rPr>
      </w:pPr>
      <w:r w:rsidRPr="005371E7">
        <w:rPr>
          <w:szCs w:val="20"/>
        </w:rPr>
        <w:t>HP-hr = Brake work of the engine, in HP-hr.</w:t>
      </w:r>
    </w:p>
    <w:p w14:paraId="420034CD" w14:textId="77777777" w:rsidR="005371E7" w:rsidRPr="005371E7" w:rsidRDefault="005371E7" w:rsidP="005371E7">
      <w:pPr>
        <w:ind w:left="1440" w:hanging="360"/>
        <w:rPr>
          <w:szCs w:val="20"/>
        </w:rPr>
      </w:pPr>
    </w:p>
    <w:p w14:paraId="1CF684C6" w14:textId="77777777" w:rsidR="005371E7" w:rsidRPr="005371E7" w:rsidRDefault="005371E7" w:rsidP="005371E7">
      <w:pPr>
        <w:ind w:left="1080"/>
        <w:contextualSpacing/>
        <w:rPr>
          <w:sz w:val="32"/>
        </w:rPr>
      </w:pPr>
      <w:r w:rsidRPr="005371E7">
        <w:rPr>
          <w:szCs w:val="20"/>
        </w:rPr>
        <w:t>If the owner or operator chooses to measure VOC emissions using either Method 18 of 40 CFR 60, Appendix A, or Method 320 of 40 CFR 63, Appendix A, then it has the option of correcting the measured VOC emissions to account for the potential differences in measured values between</w:t>
      </w:r>
      <w:r>
        <w:rPr>
          <w:szCs w:val="20"/>
        </w:rPr>
        <w:t xml:space="preserve"> these methods and Method 25A. </w:t>
      </w:r>
      <w:r w:rsidRPr="005371E7">
        <w:rPr>
          <w:szCs w:val="20"/>
        </w:rPr>
        <w:t>The results from Method 18 and Method 320 can be corrected for response factor differences using Equati</w:t>
      </w:r>
      <w:r>
        <w:rPr>
          <w:szCs w:val="20"/>
        </w:rPr>
        <w:t xml:space="preserve">ons 4 and 5 of 40 CFR 60.4244. </w:t>
      </w:r>
      <w:r w:rsidRPr="005371E7">
        <w:rPr>
          <w:szCs w:val="20"/>
        </w:rPr>
        <w:t>The corrected VOC concentration can then be places on a propane basis using Equation 6 of that same section.</w:t>
      </w:r>
    </w:p>
    <w:p w14:paraId="385073C6" w14:textId="77777777" w:rsidR="00897D38" w:rsidRDefault="00897D38" w:rsidP="00897D38">
      <w:pPr>
        <w:ind w:left="720" w:hanging="360"/>
        <w:contextualSpacing/>
      </w:pPr>
    </w:p>
    <w:p w14:paraId="1AF981D0" w14:textId="281655E3" w:rsidR="008C7470" w:rsidRDefault="00CE7ADA" w:rsidP="00CE7ADA">
      <w:pPr>
        <w:ind w:left="720" w:hanging="360"/>
      </w:pPr>
      <w:r>
        <w:t>b.</w:t>
      </w:r>
      <w:r>
        <w:tab/>
        <w:t>If the engines are not EPA certified, the Permittee shall conduct subsequent testing of each engine in accordance with the procedures set forth in Condition IV(a)(2) every 8,760 hours of operation or every 3 years, whichever comes first, thereafter to demonstrate compliance. [40 CFR 60.4243(b)(2)(ii)]</w:t>
      </w:r>
    </w:p>
    <w:p w14:paraId="7BE9AA2C" w14:textId="4E32497A" w:rsidR="00CE7ADA" w:rsidRDefault="00CE7ADA" w:rsidP="00CE7ADA">
      <w:pPr>
        <w:ind w:left="720" w:hanging="360"/>
      </w:pPr>
    </w:p>
    <w:p w14:paraId="39255DBD" w14:textId="1FA353F9" w:rsidR="00CB7895" w:rsidRDefault="00CE7ADA" w:rsidP="001129BF">
      <w:pPr>
        <w:pStyle w:val="ListParagraph"/>
        <w:numPr>
          <w:ilvl w:val="0"/>
          <w:numId w:val="17"/>
        </w:numPr>
      </w:pPr>
      <w:r>
        <w:t>In order to demonstrate compliance with Condition II(b)</w:t>
      </w:r>
      <w:r w:rsidR="00750028">
        <w:t>, the Permittee shall</w:t>
      </w:r>
      <w:r w:rsidR="00CB7895">
        <w:t>:</w:t>
      </w:r>
    </w:p>
    <w:p w14:paraId="6BB32BA5" w14:textId="77777777" w:rsidR="00CB7895" w:rsidRDefault="00CB7895" w:rsidP="00CB7895">
      <w:pPr>
        <w:pStyle w:val="ListParagraph"/>
      </w:pPr>
    </w:p>
    <w:p w14:paraId="7A39B1F2" w14:textId="4168F6DF" w:rsidR="00CE7ADA" w:rsidRDefault="00CB7895" w:rsidP="00331E72">
      <w:pPr>
        <w:pStyle w:val="ListParagraph"/>
        <w:numPr>
          <w:ilvl w:val="6"/>
          <w:numId w:val="18"/>
        </w:numPr>
        <w:ind w:left="1080"/>
      </w:pPr>
      <w:r>
        <w:t>W</w:t>
      </w:r>
      <w:r w:rsidR="00750028">
        <w:t>ithin 60 days after achieving the maximum production rate o</w:t>
      </w:r>
      <w:r w:rsidR="001129BF">
        <w:t>f</w:t>
      </w:r>
      <w:r w:rsidR="00750028">
        <w:t xml:space="preserve"> each CHP unit, but not later than 180 days after initial startup of the unit</w:t>
      </w:r>
      <w:r w:rsidR="00750028">
        <w:t>, perform an initial performance test</w:t>
      </w:r>
      <w:r w:rsidR="001129BF">
        <w:t xml:space="preserve"> according to the procedures set forth in Condition IV(a)(2), except that testing for formaldehyde and ammonia shall also be performed to determine compliance [20 DCMR 104.2(b) and 20 DCMR 502.1]</w:t>
      </w:r>
      <w:r>
        <w:t xml:space="preserve">; </w:t>
      </w:r>
    </w:p>
    <w:p w14:paraId="72D3AFF6" w14:textId="77777777" w:rsidR="00CB7895" w:rsidRDefault="00CB7895" w:rsidP="00CB7895">
      <w:pPr>
        <w:pStyle w:val="ListParagraph"/>
        <w:ind w:left="1080"/>
      </w:pPr>
    </w:p>
    <w:p w14:paraId="59C6F9C6" w14:textId="019217C0" w:rsidR="00CB7895" w:rsidRDefault="00CB7895" w:rsidP="00331E72">
      <w:pPr>
        <w:pStyle w:val="ListParagraph"/>
        <w:numPr>
          <w:ilvl w:val="6"/>
          <w:numId w:val="18"/>
        </w:numPr>
        <w:tabs>
          <w:tab w:val="clear" w:pos="2520"/>
          <w:tab w:val="num" w:pos="1080"/>
        </w:tabs>
        <w:ind w:left="1080"/>
      </w:pPr>
      <w:r>
        <w:t>If the engine is uncertified or EPA certified and more than seven (7) model years old, the Permittee shall, before December 31</w:t>
      </w:r>
      <w:r w:rsidRPr="00CB7895">
        <w:rPr>
          <w:vertAlign w:val="superscript"/>
        </w:rPr>
        <w:t>st</w:t>
      </w:r>
      <w:r>
        <w:t xml:space="preserve"> of every fifth year, counting from December 31, 2021, perform NOx testing to determine compliance with the NOx emissions limit of Condition II(b)</w:t>
      </w:r>
      <w:r w:rsidR="00331E72">
        <w:t>. Tests shall be conducted at the highest achievable steady state load, which may require use of a load bank, but without creating and unsafe condition. [20 DCMR 805.7(d)(2) and 20 DCMR 805.10(a)(2)(C)(iii)]</w:t>
      </w:r>
    </w:p>
    <w:p w14:paraId="72E5E13D" w14:textId="77777777" w:rsidR="00CE7ADA" w:rsidRDefault="00CE7ADA" w:rsidP="00A9395A"/>
    <w:p w14:paraId="01765697" w14:textId="6294B138" w:rsidR="00897D38" w:rsidRDefault="001129BF" w:rsidP="005371E7">
      <w:pPr>
        <w:ind w:left="720" w:hanging="360"/>
      </w:pPr>
      <w:r>
        <w:t>d</w:t>
      </w:r>
      <w:r w:rsidR="005371E7">
        <w:t>.</w:t>
      </w:r>
      <w:r w:rsidR="005371E7">
        <w:tab/>
        <w:t>In addition to the requirements of Condition</w:t>
      </w:r>
      <w:r>
        <w:t>s</w:t>
      </w:r>
      <w:r w:rsidR="005371E7">
        <w:t xml:space="preserve"> IV(a)</w:t>
      </w:r>
      <w:r>
        <w:t xml:space="preserve"> through (c)</w:t>
      </w:r>
      <w:r w:rsidR="005371E7">
        <w:t>, t</w:t>
      </w:r>
      <w:r w:rsidR="00897D38" w:rsidRPr="006243B7">
        <w:t xml:space="preserve">he </w:t>
      </w:r>
      <w:r w:rsidR="00897D38">
        <w:t>Permittee</w:t>
      </w:r>
      <w:r w:rsidR="00897D38" w:rsidRPr="006243B7">
        <w:t xml:space="preserve"> shall conduct and allow the Department access to conduct tests of air pollution emissions from any source as requested. </w:t>
      </w:r>
      <w:r w:rsidR="00897D38">
        <w:t>[</w:t>
      </w:r>
      <w:r w:rsidR="00897D38" w:rsidRPr="006243B7">
        <w:t>20 DCMR 502.1</w:t>
      </w:r>
      <w:r w:rsidR="00897D38">
        <w:t>]</w:t>
      </w:r>
    </w:p>
    <w:p w14:paraId="33E4824C" w14:textId="77777777" w:rsidR="005371E7" w:rsidRDefault="005371E7" w:rsidP="005371E7">
      <w:pPr>
        <w:ind w:left="720" w:hanging="360"/>
      </w:pPr>
    </w:p>
    <w:p w14:paraId="6067743A" w14:textId="0630CA1C" w:rsidR="005371E7" w:rsidRDefault="0012647E" w:rsidP="005371E7">
      <w:pPr>
        <w:ind w:left="720" w:hanging="360"/>
      </w:pPr>
      <w:r>
        <w:t>e</w:t>
      </w:r>
      <w:r w:rsidR="005371E7">
        <w:t>.</w:t>
      </w:r>
      <w:r w:rsidR="005371E7">
        <w:tab/>
        <w:t>The Permittee shall maintain an awareness of the operation of the generator sets to identify potential exceedances of Conditions II(</w:t>
      </w:r>
      <w:r w:rsidR="001129BF">
        <w:t>c</w:t>
      </w:r>
      <w:r w:rsidR="005371E7">
        <w:t>) and (</w:t>
      </w:r>
      <w:r w:rsidR="001129BF">
        <w:t>d</w:t>
      </w:r>
      <w:r w:rsidR="005371E7">
        <w:t>) and shall comply with the following:</w:t>
      </w:r>
    </w:p>
    <w:p w14:paraId="7BE2B982" w14:textId="77777777" w:rsidR="005371E7" w:rsidRDefault="005371E7" w:rsidP="005371E7">
      <w:pPr>
        <w:ind w:left="720" w:hanging="360"/>
      </w:pPr>
    </w:p>
    <w:p w14:paraId="43F3B00E" w14:textId="5408BD6A" w:rsidR="005371E7" w:rsidRDefault="005371E7" w:rsidP="005371E7">
      <w:pPr>
        <w:ind w:left="1080" w:hanging="360"/>
      </w:pPr>
      <w:r>
        <w:t>1.</w:t>
      </w:r>
      <w:r>
        <w:tab/>
        <w:t>At least once each month, during operation of each unit, the Permittee shall observe whether or not visible emissions are perceived from the emission point. If visible emissions are observed from the unit during this observation or at any other time, the Permittee shall record the instance and have the visible emissions promptly tested by a qualified person certified to perform testing pursuant to 40 CFR 60, Reference Method 9 to determine compliance with Condition II(</w:t>
      </w:r>
      <w:r w:rsidR="001129BF">
        <w:t>c</w:t>
      </w:r>
      <w:r>
        <w:t>) [</w:t>
      </w:r>
      <w:r w:rsidR="001129BF">
        <w:t>20 DCMR 104.2(b) and 20 DCMR 502.1</w:t>
      </w:r>
      <w:r>
        <w:t>]; and</w:t>
      </w:r>
    </w:p>
    <w:p w14:paraId="76B5DE6D" w14:textId="77777777" w:rsidR="005371E7" w:rsidRDefault="005371E7" w:rsidP="005371E7">
      <w:pPr>
        <w:ind w:left="1080" w:hanging="360"/>
      </w:pPr>
    </w:p>
    <w:p w14:paraId="3A22F788" w14:textId="2D898E75" w:rsidR="005371E7" w:rsidRDefault="005371E7" w:rsidP="005371E7">
      <w:pPr>
        <w:ind w:left="1080" w:hanging="360"/>
      </w:pPr>
      <w:r>
        <w:t>2.</w:t>
      </w:r>
      <w:r>
        <w:tab/>
      </w:r>
      <w:r w:rsidRPr="005371E7">
        <w:t>If odors or other deviations from the requirements of Condition II(</w:t>
      </w:r>
      <w:r w:rsidR="001129BF">
        <w:t>d</w:t>
      </w:r>
      <w:r w:rsidRPr="005371E7">
        <w:t>) are identified, such information shall be recorded as well as action taken to correct the problem in accordance with Condition V</w:t>
      </w:r>
      <w:r>
        <w:t>I</w:t>
      </w:r>
      <w:r w:rsidRPr="005371E7">
        <w:t>(a)(3).</w:t>
      </w:r>
    </w:p>
    <w:p w14:paraId="6A7EE0AA" w14:textId="77777777" w:rsidR="005371E7" w:rsidRDefault="005371E7" w:rsidP="005371E7">
      <w:pPr>
        <w:ind w:left="1080" w:hanging="360"/>
      </w:pPr>
    </w:p>
    <w:p w14:paraId="207DC5CF" w14:textId="77777777" w:rsidR="005371E7" w:rsidRDefault="005371E7" w:rsidP="005371E7">
      <w:pPr>
        <w:ind w:left="360" w:hanging="360"/>
      </w:pPr>
      <w:r>
        <w:t>V.</w:t>
      </w:r>
      <w:r>
        <w:tab/>
      </w:r>
      <w:r>
        <w:rPr>
          <w:u w:val="single"/>
        </w:rPr>
        <w:t>Notification and Reporting Requirements:</w:t>
      </w:r>
    </w:p>
    <w:p w14:paraId="141A46D5" w14:textId="77777777" w:rsidR="005371E7" w:rsidRDefault="005371E7" w:rsidP="005371E7">
      <w:pPr>
        <w:ind w:left="360" w:hanging="360"/>
      </w:pPr>
    </w:p>
    <w:p w14:paraId="4F1C086F" w14:textId="6E79AC3E" w:rsidR="005371E7" w:rsidRPr="005371E7" w:rsidRDefault="005371E7" w:rsidP="005371E7">
      <w:pPr>
        <w:ind w:left="720" w:hanging="360"/>
        <w:rPr>
          <w:szCs w:val="20"/>
        </w:rPr>
      </w:pPr>
      <w:r>
        <w:rPr>
          <w:szCs w:val="20"/>
        </w:rPr>
        <w:t>a.</w:t>
      </w:r>
      <w:r>
        <w:rPr>
          <w:szCs w:val="20"/>
        </w:rPr>
        <w:tab/>
      </w:r>
      <w:r w:rsidRPr="005371E7">
        <w:rPr>
          <w:szCs w:val="20"/>
        </w:rPr>
        <w:t xml:space="preserve">The </w:t>
      </w:r>
      <w:r>
        <w:rPr>
          <w:szCs w:val="20"/>
        </w:rPr>
        <w:t>Permittee</w:t>
      </w:r>
      <w:r w:rsidRPr="005371E7">
        <w:rPr>
          <w:szCs w:val="20"/>
        </w:rPr>
        <w:t xml:space="preserve"> shall provide the</w:t>
      </w:r>
      <w:r>
        <w:rPr>
          <w:szCs w:val="20"/>
        </w:rPr>
        <w:t xml:space="preserve"> Department and</w:t>
      </w:r>
      <w:r w:rsidR="007E7804">
        <w:rPr>
          <w:szCs w:val="20"/>
        </w:rPr>
        <w:t>,</w:t>
      </w:r>
      <w:r>
        <w:rPr>
          <w:szCs w:val="20"/>
        </w:rPr>
        <w:t xml:space="preserve"> </w:t>
      </w:r>
      <w:r w:rsidR="007E7804">
        <w:rPr>
          <w:szCs w:val="20"/>
        </w:rPr>
        <w:t xml:space="preserve">for testing required pursuant to Condition IV(a)(2) only, </w:t>
      </w:r>
      <w:r w:rsidRPr="005371E7">
        <w:rPr>
          <w:szCs w:val="20"/>
        </w:rPr>
        <w:t>U.S. EPA</w:t>
      </w:r>
      <w:r w:rsidR="007E7804">
        <w:rPr>
          <w:szCs w:val="20"/>
        </w:rPr>
        <w:t>,</w:t>
      </w:r>
      <w:r w:rsidRPr="005371E7">
        <w:rPr>
          <w:szCs w:val="20"/>
        </w:rPr>
        <w:t xml:space="preserve"> at least 30 days prior notice of any performance test required under Condition IV to afford the agencies the opportunity to have observers present.</w:t>
      </w:r>
      <w:r>
        <w:rPr>
          <w:szCs w:val="20"/>
        </w:rPr>
        <w:t xml:space="preserve"> If after 30 </w:t>
      </w:r>
      <w:r w:rsidRPr="005371E7">
        <w:rPr>
          <w:szCs w:val="20"/>
        </w:rPr>
        <w:t xml:space="preserve">days notice for an initially scheduled performance test, there is a delay (due to operational problems, etc.) in conducting the scheduled performance test, the </w:t>
      </w:r>
      <w:r>
        <w:rPr>
          <w:szCs w:val="20"/>
        </w:rPr>
        <w:t>Permittee</w:t>
      </w:r>
      <w:r w:rsidRPr="005371E7">
        <w:rPr>
          <w:szCs w:val="20"/>
        </w:rPr>
        <w:t xml:space="preserve"> </w:t>
      </w:r>
      <w:r w:rsidRPr="005371E7">
        <w:rPr>
          <w:szCs w:val="20"/>
        </w:rPr>
        <w:lastRenderedPageBreak/>
        <w:t>shall notify the EPA Administrator</w:t>
      </w:r>
      <w:r w:rsidR="007E7804">
        <w:rPr>
          <w:szCs w:val="20"/>
        </w:rPr>
        <w:t xml:space="preserve"> (if EPA notification was required)</w:t>
      </w:r>
      <w:r w:rsidRPr="005371E7">
        <w:rPr>
          <w:szCs w:val="20"/>
        </w:rPr>
        <w:t xml:space="preserve"> and the D</w:t>
      </w:r>
      <w:r>
        <w:rPr>
          <w:szCs w:val="20"/>
        </w:rPr>
        <w:t>epartment</w:t>
      </w:r>
      <w:r w:rsidRPr="005371E7">
        <w:rPr>
          <w:szCs w:val="20"/>
        </w:rPr>
        <w:t xml:space="preserve"> as soon as possible of any delay in the original test date, either by providing at least 7 days prior notice of the rescheduled date of the performance test or by arranging a rescheduled date with the EPA Administrator and the D</w:t>
      </w:r>
      <w:r>
        <w:rPr>
          <w:szCs w:val="20"/>
        </w:rPr>
        <w:t>epartment</w:t>
      </w:r>
      <w:r w:rsidRPr="005371E7">
        <w:rPr>
          <w:szCs w:val="20"/>
        </w:rPr>
        <w:t xml:space="preserve"> by mutual agreement.</w:t>
      </w:r>
    </w:p>
    <w:p w14:paraId="017C66DD" w14:textId="77777777" w:rsidR="005371E7" w:rsidRPr="005371E7" w:rsidRDefault="005371E7" w:rsidP="005371E7">
      <w:pPr>
        <w:ind w:left="720" w:hanging="360"/>
        <w:rPr>
          <w:szCs w:val="20"/>
        </w:rPr>
      </w:pPr>
    </w:p>
    <w:p w14:paraId="1C82EC47" w14:textId="77777777" w:rsidR="005371E7" w:rsidRPr="005371E7" w:rsidRDefault="005371E7" w:rsidP="005371E7">
      <w:pPr>
        <w:ind w:left="720" w:hanging="360"/>
        <w:rPr>
          <w:szCs w:val="20"/>
        </w:rPr>
      </w:pPr>
      <w:r w:rsidRPr="005371E7">
        <w:rPr>
          <w:szCs w:val="20"/>
        </w:rPr>
        <w:t>b.</w:t>
      </w:r>
      <w:r w:rsidRPr="005371E7">
        <w:rPr>
          <w:szCs w:val="20"/>
        </w:rPr>
        <w:tab/>
        <w:t>At least 30 days in advance of the proposed test date, a test protocol shall be submitted to the D</w:t>
      </w:r>
      <w:r>
        <w:rPr>
          <w:szCs w:val="20"/>
        </w:rPr>
        <w:t>epartment</w:t>
      </w:r>
      <w:r w:rsidRPr="005371E7">
        <w:rPr>
          <w:szCs w:val="20"/>
        </w:rPr>
        <w:t xml:space="preserve"> for review. The testing shall be conducted in accordance with Federal and District requirements.</w:t>
      </w:r>
    </w:p>
    <w:p w14:paraId="65AF17EA" w14:textId="77777777" w:rsidR="005371E7" w:rsidRPr="005371E7" w:rsidRDefault="005371E7" w:rsidP="005371E7">
      <w:pPr>
        <w:ind w:left="720" w:hanging="360"/>
        <w:rPr>
          <w:szCs w:val="20"/>
        </w:rPr>
      </w:pPr>
    </w:p>
    <w:p w14:paraId="0935533A" w14:textId="77777777" w:rsidR="005371E7" w:rsidRPr="005371E7" w:rsidRDefault="005371E7" w:rsidP="005371E7">
      <w:pPr>
        <w:ind w:left="720" w:hanging="360"/>
        <w:rPr>
          <w:szCs w:val="20"/>
        </w:rPr>
      </w:pPr>
      <w:r w:rsidRPr="005371E7">
        <w:rPr>
          <w:szCs w:val="20"/>
        </w:rPr>
        <w:t>c.</w:t>
      </w:r>
      <w:r w:rsidRPr="005371E7">
        <w:rPr>
          <w:szCs w:val="20"/>
        </w:rPr>
        <w:tab/>
        <w:t xml:space="preserve">The test protocol </w:t>
      </w:r>
      <w:r>
        <w:rPr>
          <w:szCs w:val="20"/>
        </w:rPr>
        <w:t xml:space="preserve">and test date(s) </w:t>
      </w:r>
      <w:r w:rsidRPr="005371E7">
        <w:rPr>
          <w:szCs w:val="20"/>
        </w:rPr>
        <w:t>shall be approved by the D</w:t>
      </w:r>
      <w:r>
        <w:rPr>
          <w:szCs w:val="20"/>
        </w:rPr>
        <w:t>epartment</w:t>
      </w:r>
      <w:r w:rsidRPr="005371E7">
        <w:rPr>
          <w:szCs w:val="20"/>
        </w:rPr>
        <w:t xml:space="preserve"> prior to initiating any testing. The D</w:t>
      </w:r>
      <w:r>
        <w:rPr>
          <w:szCs w:val="20"/>
        </w:rPr>
        <w:t>epartment</w:t>
      </w:r>
      <w:r w:rsidRPr="005371E7">
        <w:rPr>
          <w:szCs w:val="20"/>
        </w:rPr>
        <w:t xml:space="preserve"> must have the opportunity to observe the test for the results to be considered for acceptance.</w:t>
      </w:r>
    </w:p>
    <w:p w14:paraId="5DC68061" w14:textId="77777777" w:rsidR="005371E7" w:rsidRPr="005371E7" w:rsidRDefault="005371E7" w:rsidP="005371E7">
      <w:pPr>
        <w:ind w:left="720" w:hanging="360"/>
        <w:rPr>
          <w:szCs w:val="20"/>
        </w:rPr>
      </w:pPr>
    </w:p>
    <w:p w14:paraId="2337FECE" w14:textId="69B67C12" w:rsidR="005371E7" w:rsidRPr="005371E7" w:rsidRDefault="005371E7" w:rsidP="005371E7">
      <w:pPr>
        <w:ind w:left="720" w:hanging="360"/>
        <w:rPr>
          <w:szCs w:val="20"/>
        </w:rPr>
      </w:pPr>
      <w:r w:rsidRPr="005371E7">
        <w:rPr>
          <w:szCs w:val="20"/>
        </w:rPr>
        <w:t>d.</w:t>
      </w:r>
      <w:r w:rsidRPr="005371E7">
        <w:rPr>
          <w:szCs w:val="20"/>
        </w:rPr>
        <w:tab/>
        <w:t>The results of the testing performed pursuant to Condit</w:t>
      </w:r>
      <w:r>
        <w:rPr>
          <w:szCs w:val="20"/>
        </w:rPr>
        <w:t xml:space="preserve">ion IV(a) shall be submitted </w:t>
      </w:r>
      <w:r w:rsidRPr="005371E7">
        <w:rPr>
          <w:szCs w:val="20"/>
        </w:rPr>
        <w:t>to the Department and</w:t>
      </w:r>
      <w:r w:rsidR="007E7804">
        <w:rPr>
          <w:szCs w:val="20"/>
        </w:rPr>
        <w:t>, for testing required pursuant to Condition IV(a)(2) only,</w:t>
      </w:r>
      <w:r w:rsidRPr="005371E7">
        <w:rPr>
          <w:szCs w:val="20"/>
        </w:rPr>
        <w:t xml:space="preserve"> EPA</w:t>
      </w:r>
      <w:r w:rsidR="007E7804">
        <w:rPr>
          <w:szCs w:val="20"/>
        </w:rPr>
        <w:t>,</w:t>
      </w:r>
      <w:r w:rsidRPr="005371E7">
        <w:rPr>
          <w:szCs w:val="20"/>
        </w:rPr>
        <w:t xml:space="preserve"> within 60 days after completion of the testing program.</w:t>
      </w:r>
    </w:p>
    <w:p w14:paraId="3636D816" w14:textId="77777777" w:rsidR="005371E7" w:rsidRPr="005371E7" w:rsidRDefault="005371E7" w:rsidP="005371E7">
      <w:pPr>
        <w:ind w:left="720" w:hanging="360"/>
        <w:rPr>
          <w:szCs w:val="20"/>
        </w:rPr>
      </w:pPr>
    </w:p>
    <w:p w14:paraId="710CA71F" w14:textId="3DF85707" w:rsidR="005371E7" w:rsidRPr="005371E7" w:rsidRDefault="005371E7" w:rsidP="005371E7">
      <w:pPr>
        <w:tabs>
          <w:tab w:val="left" w:pos="720"/>
        </w:tabs>
        <w:ind w:left="720" w:hanging="360"/>
      </w:pPr>
      <w:r w:rsidRPr="005371E7">
        <w:t>e.</w:t>
      </w:r>
      <w:r w:rsidRPr="005371E7">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0D743605" w14:textId="77777777" w:rsidR="005371E7" w:rsidRPr="005371E7" w:rsidRDefault="005371E7" w:rsidP="005371E7">
      <w:pPr>
        <w:ind w:left="1800" w:hanging="360"/>
      </w:pPr>
    </w:p>
    <w:p w14:paraId="3E4904B4" w14:textId="77777777" w:rsidR="005371E7" w:rsidRPr="005371E7" w:rsidRDefault="005371E7" w:rsidP="005371E7">
      <w:pPr>
        <w:ind w:left="1080" w:hanging="360"/>
      </w:pPr>
      <w:r w:rsidRPr="005371E7">
        <w:t>i.</w:t>
      </w:r>
      <w:r w:rsidRPr="005371E7">
        <w:tab/>
        <w:t>A statement that the Permittee has reviewed the report from the emissions testing firm and agrees with the findings.</w:t>
      </w:r>
    </w:p>
    <w:p w14:paraId="2E4AC057" w14:textId="77777777" w:rsidR="007E7804" w:rsidRDefault="007E7804" w:rsidP="005371E7">
      <w:pPr>
        <w:ind w:left="1080" w:hanging="360"/>
      </w:pPr>
    </w:p>
    <w:p w14:paraId="124651A6" w14:textId="43CD1927" w:rsidR="005371E7" w:rsidRPr="005371E7" w:rsidRDefault="005371E7" w:rsidP="005371E7">
      <w:pPr>
        <w:ind w:left="1080" w:hanging="360"/>
      </w:pPr>
      <w:r w:rsidRPr="005371E7">
        <w:t>ii.</w:t>
      </w:r>
      <w:r w:rsidRPr="005371E7">
        <w:tab/>
        <w:t>Permit number(s) and condition(s) which are the basis for the compliance evaluation.</w:t>
      </w:r>
    </w:p>
    <w:p w14:paraId="2EB70221" w14:textId="77777777" w:rsidR="005371E7" w:rsidRPr="005371E7" w:rsidRDefault="005371E7" w:rsidP="005371E7">
      <w:pPr>
        <w:ind w:left="1080" w:hanging="360"/>
      </w:pPr>
    </w:p>
    <w:p w14:paraId="3DD98800" w14:textId="77777777" w:rsidR="005371E7" w:rsidRPr="005371E7" w:rsidRDefault="005371E7" w:rsidP="005371E7">
      <w:pPr>
        <w:ind w:left="1080" w:hanging="360"/>
      </w:pPr>
      <w:r w:rsidRPr="005371E7">
        <w:t>iii.</w:t>
      </w:r>
      <w:r w:rsidRPr="005371E7">
        <w:tab/>
        <w:t>Summary of results with respect to each permit condition.</w:t>
      </w:r>
    </w:p>
    <w:p w14:paraId="5D4343F0" w14:textId="77777777" w:rsidR="005371E7" w:rsidRPr="005371E7" w:rsidRDefault="005371E7" w:rsidP="005371E7">
      <w:pPr>
        <w:ind w:left="1080" w:hanging="360"/>
      </w:pPr>
    </w:p>
    <w:p w14:paraId="78922327" w14:textId="77777777" w:rsidR="005371E7" w:rsidRPr="005371E7" w:rsidRDefault="005371E7" w:rsidP="005371E7">
      <w:pPr>
        <w:ind w:left="1080" w:hanging="360"/>
      </w:pPr>
      <w:r w:rsidRPr="005371E7">
        <w:t>iv.</w:t>
      </w:r>
      <w:r w:rsidRPr="005371E7">
        <w:tab/>
        <w:t>Statement of compliance or non-compliance with each permit condition.</w:t>
      </w:r>
    </w:p>
    <w:p w14:paraId="195B8EA0" w14:textId="77777777" w:rsidR="005371E7" w:rsidRPr="005371E7" w:rsidRDefault="005371E7" w:rsidP="005371E7">
      <w:pPr>
        <w:ind w:left="720" w:hanging="360"/>
        <w:rPr>
          <w:szCs w:val="20"/>
        </w:rPr>
      </w:pPr>
    </w:p>
    <w:p w14:paraId="687B428D" w14:textId="77777777" w:rsidR="005371E7" w:rsidRPr="005371E7" w:rsidRDefault="005371E7" w:rsidP="005371E7">
      <w:pPr>
        <w:ind w:left="720" w:hanging="360"/>
        <w:rPr>
          <w:szCs w:val="20"/>
        </w:rPr>
      </w:pPr>
      <w:r w:rsidRPr="005371E7">
        <w:rPr>
          <w:szCs w:val="20"/>
        </w:rPr>
        <w:t>f.</w:t>
      </w:r>
      <w:r w:rsidRPr="005371E7">
        <w:rPr>
          <w:szCs w:val="20"/>
        </w:rPr>
        <w:tab/>
        <w:t xml:space="preserve">The results </w:t>
      </w:r>
      <w:r>
        <w:rPr>
          <w:szCs w:val="20"/>
        </w:rPr>
        <w:t>must demonstrate to the Department</w:t>
      </w:r>
      <w:r w:rsidRPr="005371E7">
        <w:rPr>
          <w:szCs w:val="20"/>
        </w:rPr>
        <w: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14:paraId="5BB4FE6D" w14:textId="77777777" w:rsidR="005371E7" w:rsidRPr="005371E7" w:rsidRDefault="005371E7" w:rsidP="005371E7">
      <w:pPr>
        <w:ind w:left="720" w:hanging="360"/>
        <w:rPr>
          <w:szCs w:val="20"/>
        </w:rPr>
      </w:pPr>
    </w:p>
    <w:p w14:paraId="49918851" w14:textId="2C9E2CC0" w:rsidR="005371E7" w:rsidRPr="005371E7" w:rsidRDefault="005371E7" w:rsidP="005371E7">
      <w:pPr>
        <w:ind w:left="720" w:hanging="360"/>
        <w:rPr>
          <w:szCs w:val="20"/>
        </w:rPr>
      </w:pPr>
      <w:r w:rsidRPr="005371E7">
        <w:rPr>
          <w:szCs w:val="20"/>
        </w:rPr>
        <w:t>g.</w:t>
      </w:r>
      <w:r w:rsidRPr="005371E7">
        <w:rPr>
          <w:szCs w:val="20"/>
        </w:rPr>
        <w:tab/>
        <w:t>The notifications and reports required under Conditions V(a), (d) and (e) shall be submitted to the Department and</w:t>
      </w:r>
      <w:r w:rsidR="007E7804">
        <w:rPr>
          <w:szCs w:val="20"/>
        </w:rPr>
        <w:t>, where applicable,</w:t>
      </w:r>
      <w:r w:rsidRPr="005371E7">
        <w:rPr>
          <w:szCs w:val="20"/>
        </w:rPr>
        <w:t xml:space="preserve"> EPA</w:t>
      </w:r>
      <w:r w:rsidR="007E7804">
        <w:rPr>
          <w:szCs w:val="20"/>
        </w:rPr>
        <w:t>,</w:t>
      </w:r>
      <w:r w:rsidRPr="005371E7">
        <w:rPr>
          <w:szCs w:val="20"/>
        </w:rPr>
        <w:t xml:space="preserve"> at following addresses. The protocol required under Condition</w:t>
      </w:r>
      <w:r w:rsidR="006F4DB7">
        <w:rPr>
          <w:szCs w:val="20"/>
        </w:rPr>
        <w:t>s</w:t>
      </w:r>
      <w:r w:rsidRPr="005371E7">
        <w:rPr>
          <w:szCs w:val="20"/>
        </w:rPr>
        <w:t xml:space="preserve"> V</w:t>
      </w:r>
      <w:r>
        <w:rPr>
          <w:szCs w:val="20"/>
        </w:rPr>
        <w:t xml:space="preserve">(b) and </w:t>
      </w:r>
      <w:r w:rsidRPr="005371E7">
        <w:rPr>
          <w:szCs w:val="20"/>
        </w:rPr>
        <w:t>(c) need only be submitted to the D</w:t>
      </w:r>
      <w:r>
        <w:rPr>
          <w:szCs w:val="20"/>
        </w:rPr>
        <w:t>epartment</w:t>
      </w:r>
      <w:r w:rsidRPr="005371E7">
        <w:rPr>
          <w:szCs w:val="20"/>
        </w:rPr>
        <w:t xml:space="preserve"> at the following address.</w:t>
      </w:r>
    </w:p>
    <w:p w14:paraId="6F277AC4" w14:textId="77777777" w:rsidR="005371E7" w:rsidRPr="005371E7" w:rsidRDefault="005371E7" w:rsidP="005371E7">
      <w:pPr>
        <w:ind w:left="360"/>
        <w:rPr>
          <w:szCs w:val="20"/>
        </w:rPr>
      </w:pPr>
    </w:p>
    <w:p w14:paraId="795BF74E" w14:textId="0C7436A4" w:rsidR="005371E7" w:rsidRPr="006F4DB7" w:rsidRDefault="006F4DB7" w:rsidP="005371E7">
      <w:pPr>
        <w:ind w:left="720"/>
        <w:rPr>
          <w:szCs w:val="20"/>
        </w:rPr>
      </w:pPr>
      <w:hyperlink r:id="rId14" w:history="1">
        <w:r w:rsidRPr="006F4DB7">
          <w:rPr>
            <w:rStyle w:val="Hyperlink"/>
            <w:color w:val="auto"/>
            <w:szCs w:val="20"/>
          </w:rPr>
          <w:t>air.quality@dc.gov</w:t>
        </w:r>
      </w:hyperlink>
    </w:p>
    <w:p w14:paraId="582B6F95" w14:textId="77777777" w:rsidR="005371E7" w:rsidRPr="005371E7" w:rsidRDefault="005371E7" w:rsidP="005371E7">
      <w:pPr>
        <w:ind w:left="720"/>
        <w:rPr>
          <w:szCs w:val="20"/>
        </w:rPr>
      </w:pPr>
    </w:p>
    <w:p w14:paraId="156497E6" w14:textId="77777777" w:rsidR="005371E7" w:rsidRPr="005371E7" w:rsidRDefault="005371E7" w:rsidP="005371E7">
      <w:pPr>
        <w:ind w:left="720"/>
        <w:rPr>
          <w:szCs w:val="20"/>
        </w:rPr>
      </w:pPr>
      <w:r w:rsidRPr="005371E7">
        <w:rPr>
          <w:szCs w:val="20"/>
        </w:rPr>
        <w:t>and</w:t>
      </w:r>
    </w:p>
    <w:p w14:paraId="4F241431" w14:textId="77777777" w:rsidR="005371E7" w:rsidRPr="005371E7" w:rsidRDefault="005371E7" w:rsidP="005371E7">
      <w:pPr>
        <w:ind w:left="720"/>
        <w:rPr>
          <w:szCs w:val="20"/>
        </w:rPr>
      </w:pPr>
    </w:p>
    <w:p w14:paraId="21441E97" w14:textId="77777777" w:rsidR="00C630B6" w:rsidRDefault="00C630B6" w:rsidP="00C630B6">
      <w:pPr>
        <w:pStyle w:val="paragraph"/>
        <w:spacing w:before="0" w:beforeAutospacing="0" w:after="0" w:afterAutospacing="0"/>
        <w:ind w:firstLine="720"/>
        <w:textAlignment w:val="baseline"/>
        <w:rPr>
          <w:rFonts w:ascii="Segoe UI" w:hAnsi="Segoe UI" w:cs="Segoe UI"/>
          <w:sz w:val="18"/>
          <w:szCs w:val="18"/>
        </w:rPr>
      </w:pPr>
      <w:r>
        <w:rPr>
          <w:rStyle w:val="normaltextrun"/>
          <w:rFonts w:ascii="Times New Roman" w:hAnsi="Times New Roman" w:cs="Times New Roman"/>
          <w:sz w:val="24"/>
          <w:szCs w:val="24"/>
        </w:rPr>
        <w:t>United States Environmental Protection Agency</w:t>
      </w:r>
      <w:r>
        <w:rPr>
          <w:rStyle w:val="eop"/>
          <w:rFonts w:ascii="Times New Roman" w:hAnsi="Times New Roman" w:cs="Times New Roman"/>
          <w:sz w:val="24"/>
          <w:szCs w:val="24"/>
        </w:rPr>
        <w:t> </w:t>
      </w:r>
    </w:p>
    <w:p w14:paraId="4D565861" w14:textId="77777777" w:rsidR="00C630B6" w:rsidRDefault="00C630B6" w:rsidP="00C630B6">
      <w:pPr>
        <w:pStyle w:val="paragraph"/>
        <w:spacing w:before="0" w:beforeAutospacing="0" w:after="0" w:afterAutospacing="0"/>
        <w:ind w:firstLine="720"/>
        <w:textAlignment w:val="baseline"/>
        <w:rPr>
          <w:rFonts w:ascii="Segoe UI" w:hAnsi="Segoe UI" w:cs="Segoe UI"/>
          <w:sz w:val="18"/>
          <w:szCs w:val="18"/>
        </w:rPr>
      </w:pPr>
      <w:r>
        <w:rPr>
          <w:rStyle w:val="normaltextrun"/>
          <w:rFonts w:ascii="Times New Roman" w:hAnsi="Times New Roman" w:cs="Times New Roman"/>
          <w:sz w:val="24"/>
          <w:szCs w:val="24"/>
        </w:rPr>
        <w:t>Region III, Enforcement &amp; Compliance Assurance Division</w:t>
      </w:r>
      <w:r>
        <w:rPr>
          <w:rStyle w:val="eop"/>
          <w:rFonts w:ascii="Times New Roman" w:hAnsi="Times New Roman" w:cs="Times New Roman"/>
          <w:sz w:val="24"/>
          <w:szCs w:val="24"/>
        </w:rPr>
        <w:t> </w:t>
      </w:r>
    </w:p>
    <w:p w14:paraId="04894CB2" w14:textId="77777777" w:rsidR="00C630B6" w:rsidRDefault="00C630B6" w:rsidP="00C630B6">
      <w:pPr>
        <w:pStyle w:val="paragraph"/>
        <w:spacing w:before="0" w:beforeAutospacing="0" w:after="0" w:afterAutospacing="0"/>
        <w:ind w:firstLine="720"/>
        <w:textAlignment w:val="baseline"/>
        <w:rPr>
          <w:rFonts w:ascii="Segoe UI" w:hAnsi="Segoe UI" w:cs="Segoe UI"/>
          <w:sz w:val="18"/>
          <w:szCs w:val="18"/>
        </w:rPr>
      </w:pPr>
      <w:r>
        <w:rPr>
          <w:rStyle w:val="normaltextrun"/>
          <w:rFonts w:ascii="Times New Roman" w:hAnsi="Times New Roman" w:cs="Times New Roman"/>
          <w:sz w:val="24"/>
          <w:szCs w:val="24"/>
        </w:rPr>
        <w:t>Air, RCRA and Toxics Branch (3ED21)</w:t>
      </w:r>
      <w:r>
        <w:rPr>
          <w:rStyle w:val="eop"/>
          <w:rFonts w:ascii="Times New Roman" w:hAnsi="Times New Roman" w:cs="Times New Roman"/>
          <w:sz w:val="24"/>
          <w:szCs w:val="24"/>
        </w:rPr>
        <w:t> </w:t>
      </w:r>
    </w:p>
    <w:p w14:paraId="224FF8C5" w14:textId="77777777" w:rsidR="00C630B6" w:rsidRDefault="00C630B6" w:rsidP="00C630B6">
      <w:pPr>
        <w:pStyle w:val="paragraph"/>
        <w:spacing w:before="0" w:beforeAutospacing="0" w:after="0" w:afterAutospacing="0"/>
        <w:ind w:firstLine="720"/>
        <w:textAlignment w:val="baseline"/>
        <w:rPr>
          <w:rFonts w:ascii="Segoe UI" w:hAnsi="Segoe UI" w:cs="Segoe UI"/>
          <w:sz w:val="18"/>
          <w:szCs w:val="18"/>
        </w:rPr>
      </w:pPr>
      <w:r>
        <w:rPr>
          <w:rStyle w:val="normaltextrun"/>
          <w:rFonts w:ascii="Times New Roman" w:hAnsi="Times New Roman" w:cs="Times New Roman"/>
          <w:sz w:val="24"/>
          <w:szCs w:val="24"/>
        </w:rPr>
        <w:t>Four Penn Center</w:t>
      </w:r>
      <w:r>
        <w:rPr>
          <w:rStyle w:val="eop"/>
          <w:rFonts w:ascii="Times New Roman" w:hAnsi="Times New Roman" w:cs="Times New Roman"/>
          <w:sz w:val="24"/>
          <w:szCs w:val="24"/>
        </w:rPr>
        <w:t> </w:t>
      </w:r>
    </w:p>
    <w:p w14:paraId="71076891" w14:textId="77777777" w:rsidR="00C630B6" w:rsidRDefault="00C630B6" w:rsidP="00C630B6">
      <w:pPr>
        <w:pStyle w:val="paragraph"/>
        <w:spacing w:before="0" w:beforeAutospacing="0" w:after="0" w:afterAutospacing="0"/>
        <w:ind w:firstLine="720"/>
        <w:textAlignment w:val="baseline"/>
        <w:rPr>
          <w:rFonts w:ascii="Segoe UI" w:hAnsi="Segoe UI" w:cs="Segoe UI"/>
          <w:sz w:val="18"/>
          <w:szCs w:val="18"/>
        </w:rPr>
      </w:pPr>
      <w:r>
        <w:rPr>
          <w:rStyle w:val="normaltextrun"/>
          <w:rFonts w:ascii="Times New Roman" w:hAnsi="Times New Roman" w:cs="Times New Roman"/>
          <w:sz w:val="24"/>
          <w:szCs w:val="24"/>
        </w:rPr>
        <w:t>1600 John F. Kennedy Boulevard</w:t>
      </w:r>
      <w:r>
        <w:rPr>
          <w:rStyle w:val="eop"/>
          <w:rFonts w:ascii="Times New Roman" w:hAnsi="Times New Roman" w:cs="Times New Roman"/>
          <w:sz w:val="24"/>
          <w:szCs w:val="24"/>
        </w:rPr>
        <w:t> </w:t>
      </w:r>
    </w:p>
    <w:p w14:paraId="44437C0F" w14:textId="77777777" w:rsidR="00C630B6" w:rsidRDefault="00C630B6" w:rsidP="00C630B6">
      <w:pPr>
        <w:pStyle w:val="paragraph"/>
        <w:spacing w:before="0" w:beforeAutospacing="0" w:after="0" w:afterAutospacing="0"/>
        <w:ind w:firstLine="720"/>
        <w:textAlignment w:val="baseline"/>
        <w:rPr>
          <w:rFonts w:ascii="Segoe UI" w:hAnsi="Segoe UI" w:cs="Segoe UI"/>
          <w:sz w:val="18"/>
          <w:szCs w:val="18"/>
        </w:rPr>
      </w:pPr>
      <w:r>
        <w:rPr>
          <w:rStyle w:val="normaltextrun"/>
          <w:rFonts w:ascii="Times New Roman" w:hAnsi="Times New Roman" w:cs="Times New Roman"/>
          <w:sz w:val="24"/>
          <w:szCs w:val="24"/>
        </w:rPr>
        <w:t>Philadelphia, Pennsylvania 19103-2852</w:t>
      </w:r>
      <w:r>
        <w:rPr>
          <w:rStyle w:val="eop"/>
          <w:rFonts w:ascii="Times New Roman" w:hAnsi="Times New Roman" w:cs="Times New Roman"/>
          <w:sz w:val="24"/>
          <w:szCs w:val="24"/>
        </w:rPr>
        <w:t> </w:t>
      </w:r>
    </w:p>
    <w:p w14:paraId="0BB7FC39" w14:textId="4C5C2D7D" w:rsidR="00564065" w:rsidRDefault="00564065" w:rsidP="00564065">
      <w:pPr>
        <w:ind w:left="360" w:hanging="360"/>
      </w:pPr>
    </w:p>
    <w:p w14:paraId="2C53CE88" w14:textId="1949C9CD" w:rsidR="00564065" w:rsidRPr="006243B7" w:rsidRDefault="00564065" w:rsidP="00564065">
      <w:pPr>
        <w:ind w:left="360" w:hanging="360"/>
      </w:pPr>
      <w:r w:rsidRPr="006243B7">
        <w:t>V</w:t>
      </w:r>
      <w:r w:rsidR="005371E7">
        <w:t>I</w:t>
      </w:r>
      <w:r w:rsidRPr="006243B7">
        <w:t>.</w:t>
      </w:r>
      <w:r w:rsidRPr="006243B7">
        <w:tab/>
      </w:r>
      <w:r>
        <w:rPr>
          <w:u w:val="single"/>
        </w:rPr>
        <w:t>Record Keeping and Reporting Requirements</w:t>
      </w:r>
      <w:r>
        <w:t>:</w:t>
      </w:r>
    </w:p>
    <w:p w14:paraId="2626F73F" w14:textId="77777777" w:rsidR="00564065" w:rsidRDefault="00564065" w:rsidP="00564065">
      <w:pPr>
        <w:ind w:left="360" w:hanging="360"/>
      </w:pPr>
    </w:p>
    <w:p w14:paraId="41CC1247" w14:textId="563790CE" w:rsidR="005371E7" w:rsidRDefault="002D27DC" w:rsidP="008C7470">
      <w:pPr>
        <w:ind w:left="720" w:hanging="360"/>
      </w:pPr>
      <w:r w:rsidRPr="006243B7">
        <w:t>a.</w:t>
      </w:r>
      <w:r w:rsidRPr="006243B7">
        <w:tab/>
      </w:r>
      <w:r w:rsidR="005371E7">
        <w:t>The following records shall be maintained at the facility</w:t>
      </w:r>
      <w:r w:rsidR="009763A5">
        <w:t xml:space="preserve"> (or an electronic location readily accessible from the facility) for the life of the permitted equipment</w:t>
      </w:r>
      <w:r w:rsidR="005371E7">
        <w:t xml:space="preserve"> [40 CFR 60.4245(a)]: </w:t>
      </w:r>
    </w:p>
    <w:p w14:paraId="32D4507A" w14:textId="77777777" w:rsidR="008C7470" w:rsidRDefault="008C7470" w:rsidP="005371E7">
      <w:pPr>
        <w:pStyle w:val="BodyTextIndent2"/>
        <w:spacing w:after="0" w:line="240" w:lineRule="auto"/>
        <w:ind w:left="1080" w:hanging="360"/>
      </w:pPr>
    </w:p>
    <w:p w14:paraId="4CE61378" w14:textId="320632B6" w:rsidR="005371E7" w:rsidRPr="005371E7" w:rsidRDefault="005371E7" w:rsidP="005371E7">
      <w:pPr>
        <w:pStyle w:val="BodyTextIndent2"/>
        <w:spacing w:after="0" w:line="240" w:lineRule="auto"/>
        <w:ind w:left="1080" w:hanging="360"/>
        <w:rPr>
          <w:szCs w:val="20"/>
        </w:rPr>
      </w:pPr>
      <w:r>
        <w:t>1.</w:t>
      </w:r>
      <w:r>
        <w:tab/>
      </w:r>
      <w:r w:rsidRPr="005371E7">
        <w:rPr>
          <w:szCs w:val="20"/>
        </w:rPr>
        <w:t>All notifications submitted pursuant to 40 CFR 60, Subpart JJJJ and all documentat</w:t>
      </w:r>
      <w:r>
        <w:rPr>
          <w:szCs w:val="20"/>
        </w:rPr>
        <w:t>ion supporting any notification;</w:t>
      </w:r>
    </w:p>
    <w:p w14:paraId="3185CF17" w14:textId="77777777" w:rsidR="005371E7" w:rsidRPr="005371E7" w:rsidRDefault="005371E7" w:rsidP="005371E7">
      <w:pPr>
        <w:ind w:left="1080" w:hanging="360"/>
        <w:rPr>
          <w:szCs w:val="20"/>
        </w:rPr>
      </w:pPr>
    </w:p>
    <w:p w14:paraId="75667FCA" w14:textId="590D9C4E" w:rsidR="005371E7" w:rsidRPr="005371E7" w:rsidRDefault="005371E7" w:rsidP="005371E7">
      <w:pPr>
        <w:ind w:left="1080" w:hanging="360"/>
        <w:rPr>
          <w:szCs w:val="20"/>
        </w:rPr>
      </w:pPr>
      <w:r w:rsidRPr="005371E7">
        <w:rPr>
          <w:szCs w:val="20"/>
        </w:rPr>
        <w:t>2.</w:t>
      </w:r>
      <w:r w:rsidRPr="005371E7">
        <w:rPr>
          <w:szCs w:val="20"/>
        </w:rPr>
        <w:tab/>
        <w:t>Records of maint</w:t>
      </w:r>
      <w:r>
        <w:rPr>
          <w:szCs w:val="20"/>
        </w:rPr>
        <w:t xml:space="preserve">enance conducted on the engines </w:t>
      </w:r>
      <w:r w:rsidRPr="000E4BCC">
        <w:rPr>
          <w:i/>
        </w:rPr>
        <w:t xml:space="preserve">[Note that these records must be </w:t>
      </w:r>
      <w:r>
        <w:rPr>
          <w:i/>
        </w:rPr>
        <w:t xml:space="preserve">     </w:t>
      </w:r>
      <w:r w:rsidRPr="000E4BCC">
        <w:rPr>
          <w:i/>
        </w:rPr>
        <w:t>sufficient such that the Permittee is complying with the requirements of Condition III(</w:t>
      </w:r>
      <w:r w:rsidR="00B00316">
        <w:rPr>
          <w:i/>
        </w:rPr>
        <w:t>d</w:t>
      </w:r>
      <w:r w:rsidRPr="000E4BCC">
        <w:rPr>
          <w:i/>
        </w:rPr>
        <w:t>)]</w:t>
      </w:r>
      <w:r w:rsidRPr="005371E7">
        <w:t>;</w:t>
      </w:r>
    </w:p>
    <w:p w14:paraId="784171CC" w14:textId="77777777" w:rsidR="005371E7" w:rsidRPr="005371E7" w:rsidRDefault="005371E7" w:rsidP="005371E7">
      <w:pPr>
        <w:ind w:left="1080" w:hanging="360"/>
        <w:rPr>
          <w:szCs w:val="20"/>
        </w:rPr>
      </w:pPr>
    </w:p>
    <w:p w14:paraId="01B7A469" w14:textId="50DE4629" w:rsidR="005371E7" w:rsidRDefault="005371E7" w:rsidP="005371E7">
      <w:pPr>
        <w:ind w:left="1080" w:hanging="360"/>
        <w:rPr>
          <w:szCs w:val="20"/>
        </w:rPr>
      </w:pPr>
      <w:r w:rsidRPr="005371E7">
        <w:rPr>
          <w:szCs w:val="20"/>
        </w:rPr>
        <w:t>3.</w:t>
      </w:r>
      <w:r w:rsidRPr="005371E7">
        <w:rPr>
          <w:szCs w:val="20"/>
        </w:rPr>
        <w:tab/>
        <w:t>Documentation that the engines meet the emission standards specified in</w:t>
      </w:r>
      <w:r>
        <w:rPr>
          <w:szCs w:val="20"/>
        </w:rPr>
        <w:t xml:space="preserve"> Condition</w:t>
      </w:r>
      <w:r w:rsidR="009763A5">
        <w:rPr>
          <w:szCs w:val="20"/>
        </w:rPr>
        <w:t>s</w:t>
      </w:r>
      <w:r>
        <w:rPr>
          <w:szCs w:val="20"/>
        </w:rPr>
        <w:t xml:space="preserve"> II(a)</w:t>
      </w:r>
      <w:r w:rsidR="009763A5">
        <w:rPr>
          <w:szCs w:val="20"/>
        </w:rPr>
        <w:t xml:space="preserve"> and (b)</w:t>
      </w:r>
      <w:r>
        <w:rPr>
          <w:szCs w:val="20"/>
        </w:rPr>
        <w:t xml:space="preserve"> of this permit</w:t>
      </w:r>
      <w:r w:rsidR="009763A5">
        <w:rPr>
          <w:szCs w:val="20"/>
        </w:rPr>
        <w:t>, pursuant to the requirements of Conditions IV(a) through (d), including documentation of what was submitted to the Department and EPA</w:t>
      </w:r>
      <w:r>
        <w:rPr>
          <w:szCs w:val="20"/>
        </w:rPr>
        <w:t>;</w:t>
      </w:r>
      <w:r w:rsidR="009763A5">
        <w:rPr>
          <w:szCs w:val="20"/>
        </w:rPr>
        <w:t xml:space="preserve"> and</w:t>
      </w:r>
    </w:p>
    <w:p w14:paraId="7D2B0903" w14:textId="77777777" w:rsidR="005371E7" w:rsidRDefault="005371E7" w:rsidP="005371E7">
      <w:pPr>
        <w:ind w:left="1080" w:hanging="360"/>
        <w:rPr>
          <w:szCs w:val="20"/>
        </w:rPr>
      </w:pPr>
    </w:p>
    <w:p w14:paraId="7705B31F" w14:textId="4AD2412E" w:rsidR="005371E7" w:rsidRDefault="005371E7" w:rsidP="005371E7">
      <w:pPr>
        <w:ind w:left="1080" w:hanging="360"/>
      </w:pPr>
      <w:r>
        <w:rPr>
          <w:szCs w:val="20"/>
        </w:rPr>
        <w:t>4.</w:t>
      </w:r>
      <w:r>
        <w:rPr>
          <w:szCs w:val="20"/>
        </w:rPr>
        <w:tab/>
        <w:t>A</w:t>
      </w:r>
      <w:r w:rsidRPr="006243B7">
        <w:t xml:space="preserve"> copy of the </w:t>
      </w:r>
      <w:r w:rsidR="009763A5">
        <w:t>equipment and control device</w:t>
      </w:r>
      <w:r w:rsidRPr="006243B7">
        <w:t xml:space="preserve"> manufacturers</w:t>
      </w:r>
      <w:r w:rsidR="009763A5">
        <w:t>’</w:t>
      </w:r>
      <w:r w:rsidRPr="006243B7">
        <w:t xml:space="preserve"> maintenance and operating </w:t>
      </w:r>
      <w:r>
        <w:t>recommendations as well as a copy of the maintenance plan for the equipment</w:t>
      </w:r>
      <w:r w:rsidR="009763A5">
        <w:t>.</w:t>
      </w:r>
    </w:p>
    <w:p w14:paraId="543E1545" w14:textId="77777777" w:rsidR="005371E7" w:rsidRDefault="005371E7" w:rsidP="002D27DC">
      <w:pPr>
        <w:ind w:left="720" w:hanging="360"/>
      </w:pPr>
    </w:p>
    <w:p w14:paraId="6CC2CCCF" w14:textId="20AB73D2" w:rsidR="002D27DC" w:rsidRPr="006243B7" w:rsidRDefault="005371E7" w:rsidP="002D27DC">
      <w:pPr>
        <w:ind w:left="720" w:hanging="360"/>
      </w:pPr>
      <w:r>
        <w:t>b.</w:t>
      </w:r>
      <w:r>
        <w:tab/>
      </w:r>
      <w:r w:rsidR="002D27DC" w:rsidRPr="006243B7">
        <w:t>The following information shall be recorded, initialed, and maintained in a log at the facility</w:t>
      </w:r>
      <w:r w:rsidR="0012647E">
        <w:t xml:space="preserve"> or kept in an electronic format that can be verified as to its accuracy and stored at a location readily accessible from the facility,</w:t>
      </w:r>
      <w:r w:rsidR="002D27DC" w:rsidRPr="006243B7">
        <w:t xml:space="preserve"> for a period not less than </w:t>
      </w:r>
      <w:r w:rsidR="0012647E">
        <w:t>five</w:t>
      </w:r>
      <w:r w:rsidR="002D27DC" w:rsidRPr="006243B7">
        <w:t xml:space="preserve"> (</w:t>
      </w:r>
      <w:r w:rsidR="0012647E">
        <w:t>5</w:t>
      </w:r>
      <w:r w:rsidR="002D27DC">
        <w:t>) years [</w:t>
      </w:r>
      <w:r w:rsidR="0012647E">
        <w:t xml:space="preserve">20 DCMR 302.1(c)(2)(B) and </w:t>
      </w:r>
      <w:r w:rsidR="002D27DC" w:rsidRPr="006243B7">
        <w:t>20 DCMR 500.</w:t>
      </w:r>
      <w:r w:rsidR="002D27DC" w:rsidRPr="0067799D">
        <w:t xml:space="preserve"> </w:t>
      </w:r>
      <w:r w:rsidR="002D27DC" w:rsidRPr="006243B7">
        <w:t>8]:</w:t>
      </w:r>
    </w:p>
    <w:p w14:paraId="08380BC0" w14:textId="77777777" w:rsidR="002D27DC" w:rsidRDefault="002D27DC" w:rsidP="002D27DC">
      <w:pPr>
        <w:ind w:left="1080" w:hanging="360"/>
      </w:pPr>
    </w:p>
    <w:p w14:paraId="6927839D" w14:textId="1890F075" w:rsidR="002D27DC" w:rsidRDefault="005371E7" w:rsidP="002D27DC">
      <w:pPr>
        <w:ind w:left="1080" w:hanging="360"/>
      </w:pPr>
      <w:r>
        <w:t>1</w:t>
      </w:r>
      <w:r w:rsidR="002D27DC" w:rsidRPr="00832259">
        <w:t>.</w:t>
      </w:r>
      <w:r w:rsidR="002D27DC" w:rsidRPr="00832259">
        <w:tab/>
      </w:r>
      <w:r w:rsidR="002D27DC">
        <w:t xml:space="preserve">Records </w:t>
      </w:r>
      <w:r w:rsidR="002D27DC" w:rsidRPr="005104C8">
        <w:t>of the results of any visible emissions monitoring performed</w:t>
      </w:r>
      <w:r w:rsidR="001B63FC">
        <w:t xml:space="preserve"> in accordance with Condition IV</w:t>
      </w:r>
      <w:r>
        <w:t>(</w:t>
      </w:r>
      <w:r w:rsidR="009763A5">
        <w:t>d</w:t>
      </w:r>
      <w:r w:rsidR="001B63FC">
        <w:t>)</w:t>
      </w:r>
      <w:r>
        <w:t>(1)</w:t>
      </w:r>
      <w:r w:rsidR="002D27DC" w:rsidRPr="00B92CD1">
        <w:t xml:space="preserve">; </w:t>
      </w:r>
    </w:p>
    <w:p w14:paraId="2BF10716" w14:textId="77777777" w:rsidR="005371E7" w:rsidRDefault="005371E7" w:rsidP="002D27DC">
      <w:pPr>
        <w:ind w:left="1080" w:hanging="360"/>
      </w:pPr>
    </w:p>
    <w:p w14:paraId="58A9A3CB" w14:textId="68E6E438" w:rsidR="005371E7" w:rsidRDefault="005371E7" w:rsidP="002D27DC">
      <w:pPr>
        <w:ind w:left="1080" w:hanging="360"/>
      </w:pPr>
      <w:r>
        <w:t>2.</w:t>
      </w:r>
      <w:r>
        <w:tab/>
        <w:t>Records of the actions taken to correct any problems resulting in deviations from the requirements of Conditions II(</w:t>
      </w:r>
      <w:r w:rsidR="009763A5">
        <w:t>c</w:t>
      </w:r>
      <w:r>
        <w:t>) and (</w:t>
      </w:r>
      <w:r w:rsidR="009763A5">
        <w:t>d</w:t>
      </w:r>
      <w:r>
        <w:t>);</w:t>
      </w:r>
    </w:p>
    <w:p w14:paraId="7EFD838D" w14:textId="77777777" w:rsidR="001B63FC" w:rsidRDefault="001B63FC" w:rsidP="002D27DC">
      <w:pPr>
        <w:ind w:left="1080" w:hanging="360"/>
      </w:pPr>
    </w:p>
    <w:p w14:paraId="5EACAC23" w14:textId="07D1B2D6" w:rsidR="001B63FC" w:rsidRDefault="001B63FC" w:rsidP="002D27DC">
      <w:pPr>
        <w:ind w:left="1080" w:hanging="360"/>
      </w:pPr>
      <w:r>
        <w:t>3.</w:t>
      </w:r>
      <w:r>
        <w:tab/>
        <w:t>Records of the monitoring actions performed i</w:t>
      </w:r>
      <w:r w:rsidR="006464F7">
        <w:t>n accordance with Condition IV(</w:t>
      </w:r>
      <w:r w:rsidR="0012647E">
        <w:t>e</w:t>
      </w:r>
      <w:r>
        <w:t>);</w:t>
      </w:r>
    </w:p>
    <w:p w14:paraId="2154948E" w14:textId="77777777" w:rsidR="00F3634C" w:rsidRDefault="00F3634C" w:rsidP="00F3634C"/>
    <w:p w14:paraId="44D3DD42" w14:textId="35606829" w:rsidR="005371E7" w:rsidRDefault="005371E7" w:rsidP="005371E7">
      <w:pPr>
        <w:ind w:left="1080" w:hanging="360"/>
      </w:pPr>
      <w:r>
        <w:lastRenderedPageBreak/>
        <w:t>4.</w:t>
      </w:r>
      <w:r>
        <w:tab/>
        <w:t xml:space="preserve">Records of all fuel purchases for the units to document compliance with Condition III(a) of the permit and to enable calculation of emissions from the units </w:t>
      </w:r>
      <w:r w:rsidR="0012647E">
        <w:t>pursuant to Condition VI(c)</w:t>
      </w:r>
      <w:r>
        <w:t>;</w:t>
      </w:r>
    </w:p>
    <w:p w14:paraId="0EDC065F" w14:textId="77777777" w:rsidR="005527CE" w:rsidRPr="005527CE" w:rsidRDefault="005527CE" w:rsidP="005527CE">
      <w:pPr>
        <w:pStyle w:val="ListParagraph"/>
        <w:ind w:left="1080"/>
      </w:pPr>
    </w:p>
    <w:p w14:paraId="29ED1260" w14:textId="5FA14A86" w:rsidR="005527CE" w:rsidRDefault="005527CE" w:rsidP="00F3634C">
      <w:pPr>
        <w:pStyle w:val="ListParagraph"/>
        <w:numPr>
          <w:ilvl w:val="0"/>
          <w:numId w:val="16"/>
        </w:numPr>
      </w:pPr>
      <w:r w:rsidRPr="005104C8">
        <w:t xml:space="preserve">Records of the occurrence and duration of each malfunction of operation; </w:t>
      </w:r>
    </w:p>
    <w:p w14:paraId="06E6B8A2" w14:textId="77777777" w:rsidR="005527CE" w:rsidRPr="00832259" w:rsidRDefault="005527CE" w:rsidP="005527CE">
      <w:pPr>
        <w:pStyle w:val="ListParagraph"/>
      </w:pPr>
    </w:p>
    <w:p w14:paraId="5C45C477" w14:textId="3387FCC0" w:rsidR="005527CE" w:rsidRDefault="005527CE" w:rsidP="0012647E">
      <w:pPr>
        <w:pStyle w:val="ListParagraph"/>
        <w:numPr>
          <w:ilvl w:val="0"/>
          <w:numId w:val="16"/>
        </w:numPr>
      </w:pPr>
      <w:r w:rsidRPr="005104C8">
        <w:t>Records of the actions taken during periods of malfunction to minimize emissions, including corrective actions to restore malfunction</w:t>
      </w:r>
      <w:r w:rsidR="005371E7">
        <w:t>ing</w:t>
      </w:r>
      <w:r w:rsidRPr="005104C8">
        <w:t xml:space="preserve"> process and air pollution control and monitoring equipment to its normal or usual manner of operation</w:t>
      </w:r>
      <w:r w:rsidR="00331E72">
        <w:t>; and</w:t>
      </w:r>
    </w:p>
    <w:p w14:paraId="01F2BC78" w14:textId="77777777" w:rsidR="00331E72" w:rsidRDefault="00331E72" w:rsidP="00331E72">
      <w:pPr>
        <w:pStyle w:val="ListParagraph"/>
      </w:pPr>
    </w:p>
    <w:p w14:paraId="02F812B8" w14:textId="6D6A3197" w:rsidR="00331E72" w:rsidRDefault="00331E72" w:rsidP="0012647E">
      <w:pPr>
        <w:pStyle w:val="ListParagraph"/>
        <w:numPr>
          <w:ilvl w:val="0"/>
          <w:numId w:val="16"/>
        </w:numPr>
      </w:pPr>
      <w:r>
        <w:t xml:space="preserve">If the engines are uncertified, the Permittee shall keep records of the hours of operation of each unit, using the installed hour meter required pursuant to Condition </w:t>
      </w:r>
      <w:r w:rsidR="001C4614">
        <w:t>III(g), to track when each repeat test is required pursuant to Condition IV(b).</w:t>
      </w:r>
    </w:p>
    <w:p w14:paraId="19DE985C" w14:textId="77777777" w:rsidR="0012647E" w:rsidRDefault="0012647E" w:rsidP="0012647E">
      <w:pPr>
        <w:pStyle w:val="ListParagraph"/>
      </w:pPr>
    </w:p>
    <w:p w14:paraId="50B4D6CA" w14:textId="648669ED" w:rsidR="00561CFF" w:rsidRDefault="0012647E" w:rsidP="00561CFF">
      <w:pPr>
        <w:pStyle w:val="Signature"/>
        <w:tabs>
          <w:tab w:val="left" w:pos="720"/>
        </w:tabs>
        <w:ind w:left="720" w:hanging="360"/>
      </w:pPr>
      <w:r>
        <w:t>c.</w:t>
      </w:r>
      <w:r>
        <w:tab/>
      </w:r>
      <w:r w:rsidR="00561CFF">
        <w:t xml:space="preserve">The Permittee shall include the equipment covered by this permit in all reports required by the </w:t>
      </w:r>
      <w:r w:rsidR="00561CFF">
        <w:rPr>
          <w:lang w:val="en-US"/>
        </w:rPr>
        <w:t xml:space="preserve">facility’s </w:t>
      </w:r>
      <w:r w:rsidR="00561CFF">
        <w:t>Title V permit, including, but not limited to, semi-annual and annual compliance certifications and reports</w:t>
      </w:r>
      <w:r w:rsidR="00561CFF">
        <w:rPr>
          <w:lang w:val="en-US"/>
        </w:rPr>
        <w:t xml:space="preserve"> and emissions reports</w:t>
      </w:r>
      <w:r w:rsidR="00561CFF">
        <w:t>.</w:t>
      </w:r>
    </w:p>
    <w:p w14:paraId="7B8EEA1C" w14:textId="77777777" w:rsidR="0066238A" w:rsidRDefault="0066238A" w:rsidP="00564065"/>
    <w:p w14:paraId="34B82F0E" w14:textId="317DA95B" w:rsidR="00564065" w:rsidRPr="006243B7" w:rsidRDefault="00564065" w:rsidP="00564065">
      <w:r w:rsidRPr="006243B7">
        <w:t>If you have any questions, please call me at (202) 535-1747</w:t>
      </w:r>
      <w:r>
        <w:t xml:space="preserve"> or </w:t>
      </w:r>
      <w:r w:rsidR="008C7470">
        <w:t>Abraham T. Hagos</w:t>
      </w:r>
      <w:r>
        <w:t xml:space="preserve"> at (202) </w:t>
      </w:r>
      <w:r w:rsidR="008C7470">
        <w:t>535</w:t>
      </w:r>
      <w:r>
        <w:t>-</w:t>
      </w:r>
      <w:r w:rsidR="008C7470">
        <w:t>1354</w:t>
      </w:r>
      <w:r>
        <w:t>.</w:t>
      </w:r>
    </w:p>
    <w:p w14:paraId="18F201BB" w14:textId="77777777" w:rsidR="00564065" w:rsidRDefault="00564065" w:rsidP="00564065">
      <w:pPr>
        <w:pStyle w:val="Signature"/>
      </w:pPr>
    </w:p>
    <w:p w14:paraId="2D2DF5E0" w14:textId="47E05CBB" w:rsidR="0071289B" w:rsidRDefault="00564065" w:rsidP="008C7470">
      <w:pPr>
        <w:pStyle w:val="Signature"/>
      </w:pPr>
      <w:r w:rsidRPr="006243B7">
        <w:t>Sincerely,</w:t>
      </w:r>
    </w:p>
    <w:p w14:paraId="573E6385" w14:textId="7EC70CF5" w:rsidR="0071289B" w:rsidRDefault="0071289B" w:rsidP="00564065"/>
    <w:p w14:paraId="3548FE9A" w14:textId="149938BA" w:rsidR="00195D60" w:rsidRDefault="00195D60" w:rsidP="00564065"/>
    <w:p w14:paraId="5521FAA1" w14:textId="77777777" w:rsidR="00561CFF" w:rsidRPr="006243B7" w:rsidRDefault="00561CFF" w:rsidP="00564065"/>
    <w:p w14:paraId="0F7CDAA8" w14:textId="77777777" w:rsidR="00564065" w:rsidRDefault="00564065" w:rsidP="00564065">
      <w:r w:rsidRPr="006243B7">
        <w:t>Stephen S. Ours,</w:t>
      </w:r>
      <w:r>
        <w:t xml:space="preserve"> P.E.</w:t>
      </w:r>
    </w:p>
    <w:p w14:paraId="43DD23BE" w14:textId="77777777" w:rsidR="00564065" w:rsidRDefault="00564065" w:rsidP="00564065">
      <w:r w:rsidRPr="006243B7">
        <w:t>Chief</w:t>
      </w:r>
      <w:r>
        <w:t xml:space="preserve">, </w:t>
      </w:r>
      <w:r w:rsidRPr="006243B7">
        <w:t>Permitting Branch</w:t>
      </w:r>
    </w:p>
    <w:p w14:paraId="15B0F928" w14:textId="77777777" w:rsidR="00564065" w:rsidRDefault="00564065" w:rsidP="00564065"/>
    <w:p w14:paraId="415331CC" w14:textId="6B27FE8D" w:rsidR="00E87306" w:rsidRDefault="00564065" w:rsidP="000347C2">
      <w:r w:rsidRPr="00BB18C3">
        <w:t>SSO</w:t>
      </w:r>
      <w:r w:rsidR="00561CFF">
        <w:t>/</w:t>
      </w:r>
      <w:r w:rsidR="008C7470">
        <w:t>ATH</w:t>
      </w:r>
    </w:p>
    <w:sectPr w:rsidR="00E87306" w:rsidSect="00AC1D0B">
      <w:headerReference w:type="default" r:id="rId15"/>
      <w:headerReference w:type="first" r:id="rId16"/>
      <w:footerReference w:type="first" r:id="rId17"/>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3F92" w14:textId="77777777" w:rsidR="006422A0" w:rsidRDefault="006422A0">
      <w:r>
        <w:separator/>
      </w:r>
    </w:p>
  </w:endnote>
  <w:endnote w:type="continuationSeparator" w:id="0">
    <w:p w14:paraId="39D7418B" w14:textId="77777777" w:rsidR="006422A0" w:rsidRDefault="0064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17C1" w14:textId="77777777" w:rsidR="00C82D38" w:rsidRPr="0030116A" w:rsidRDefault="00C82D38" w:rsidP="00C82D38">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5A2C1E67" wp14:editId="699746B5">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6B80802B" wp14:editId="3BC1D979">
          <wp:simplePos x="0" y="0"/>
          <wp:positionH relativeFrom="page">
            <wp:posOffset>190500</wp:posOffset>
          </wp:positionH>
          <wp:positionV relativeFrom="paragraph">
            <wp:posOffset>-228600</wp:posOffset>
          </wp:positionV>
          <wp:extent cx="1645920" cy="420370"/>
          <wp:effectExtent l="0" t="0" r="0" b="0"/>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0288" behindDoc="0" locked="0" layoutInCell="1" allowOverlap="1" wp14:anchorId="16C0C782" wp14:editId="7CB283D0">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116EB"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6777CE9A" wp14:editId="7A3DD68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F98C5"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6A785121" w14:textId="77777777"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1A78" w14:textId="77777777" w:rsidR="006422A0" w:rsidRDefault="006422A0">
      <w:r>
        <w:separator/>
      </w:r>
    </w:p>
  </w:footnote>
  <w:footnote w:type="continuationSeparator" w:id="0">
    <w:p w14:paraId="34598DAF" w14:textId="77777777" w:rsidR="006422A0" w:rsidRDefault="0064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5124" w14:textId="76089A78" w:rsidR="00DC1B14" w:rsidRPr="0008644E" w:rsidRDefault="00D47243" w:rsidP="00DC1B14">
    <w:pPr>
      <w:pStyle w:val="Header"/>
      <w:rPr>
        <w:b/>
      </w:rPr>
    </w:pPr>
    <w:r>
      <w:rPr>
        <w:b/>
      </w:rPr>
      <w:t>Gallaudet University, Central Utility Building</w:t>
    </w:r>
  </w:p>
  <w:p w14:paraId="45F8B61B" w14:textId="7DF79640" w:rsidR="00DC1B14" w:rsidRPr="001A1259" w:rsidRDefault="00DC1B14" w:rsidP="00C82D38">
    <w:pPr>
      <w:pStyle w:val="Header"/>
      <w:ind w:left="360" w:hanging="360"/>
      <w:rPr>
        <w:b/>
      </w:rPr>
    </w:pPr>
    <w:r>
      <w:rPr>
        <w:b/>
      </w:rPr>
      <w:t>Permit</w:t>
    </w:r>
    <w:r w:rsidRPr="001A1259">
      <w:rPr>
        <w:b/>
      </w:rPr>
      <w:t xml:space="preserve"> </w:t>
    </w:r>
    <w:r w:rsidR="00B46F61">
      <w:rPr>
        <w:b/>
      </w:rPr>
      <w:t>No</w:t>
    </w:r>
    <w:r w:rsidR="006B3601">
      <w:rPr>
        <w:b/>
      </w:rPr>
      <w:t>s</w:t>
    </w:r>
    <w:r w:rsidR="008827ED">
      <w:rPr>
        <w:b/>
      </w:rPr>
      <w:t xml:space="preserve">. </w:t>
    </w:r>
    <w:r w:rsidR="0060251B">
      <w:rPr>
        <w:b/>
      </w:rPr>
      <w:t>7330, 7331</w:t>
    </w:r>
    <w:r>
      <w:rPr>
        <w:b/>
      </w:rPr>
      <w:t xml:space="preserve"> and </w:t>
    </w:r>
    <w:r w:rsidR="0060251B">
      <w:rPr>
        <w:b/>
      </w:rPr>
      <w:t>7332</w:t>
    </w:r>
    <w:r>
      <w:rPr>
        <w:b/>
      </w:rPr>
      <w:t xml:space="preserve"> </w:t>
    </w:r>
    <w:r w:rsidRPr="001A1259">
      <w:rPr>
        <w:b/>
      </w:rPr>
      <w:t xml:space="preserve">to </w:t>
    </w:r>
    <w:r w:rsidR="0060251B">
      <w:rPr>
        <w:b/>
      </w:rPr>
      <w:t xml:space="preserve">Construct and </w:t>
    </w:r>
    <w:r>
      <w:rPr>
        <w:b/>
      </w:rPr>
      <w:t>Operate</w:t>
    </w:r>
    <w:r w:rsidR="00B9461D">
      <w:rPr>
        <w:b/>
      </w:rPr>
      <w:t xml:space="preserve"> </w:t>
    </w:r>
    <w:r w:rsidR="0060251B">
      <w:rPr>
        <w:b/>
      </w:rPr>
      <w:t>Three</w:t>
    </w:r>
    <w:r w:rsidR="00B9461D">
      <w:rPr>
        <w:b/>
      </w:rPr>
      <w:t xml:space="preserve"> </w:t>
    </w:r>
    <w:r w:rsidR="00B46F61">
      <w:rPr>
        <w:b/>
      </w:rPr>
      <w:t xml:space="preserve">Natural Gas-Fired </w:t>
    </w:r>
    <w:r w:rsidR="00C82D38">
      <w:rPr>
        <w:b/>
      </w:rPr>
      <w:t>CHP Units</w:t>
    </w:r>
  </w:p>
  <w:p w14:paraId="716F1674" w14:textId="77C29195" w:rsidR="00564065" w:rsidRDefault="00C82D38" w:rsidP="00564065">
    <w:pPr>
      <w:pStyle w:val="Header"/>
    </w:pPr>
    <w:r>
      <w:t>May 23</w:t>
    </w:r>
    <w:r w:rsidR="006B3601">
      <w:t>, 20</w:t>
    </w:r>
    <w:r w:rsidR="0060251B">
      <w:t>2</w:t>
    </w:r>
    <w:r w:rsidR="006935D7">
      <w:t>3</w:t>
    </w:r>
  </w:p>
  <w:p w14:paraId="4DBD4884" w14:textId="77777777"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E5287B">
      <w:rPr>
        <w:noProof/>
      </w:rPr>
      <w:t>8</w:t>
    </w:r>
    <w:r>
      <w:fldChar w:fldCharType="end"/>
    </w:r>
    <w:r>
      <w:tab/>
    </w:r>
  </w:p>
  <w:p w14:paraId="7193CAD7" w14:textId="77777777"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D4FB" w14:textId="7EC2E995" w:rsidR="00042788" w:rsidRPr="004F3F48" w:rsidRDefault="00042788" w:rsidP="004F3F48">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14:paraId="1FE78644" w14:textId="77777777" w:rsidR="00042788" w:rsidRPr="00042788" w:rsidRDefault="00042788"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2E7"/>
    <w:multiLevelType w:val="hybridMultilevel"/>
    <w:tmpl w:val="C8BC928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DE04D87"/>
    <w:multiLevelType w:val="multilevel"/>
    <w:tmpl w:val="CD82ACF2"/>
    <w:lvl w:ilvl="0">
      <w:start w:val="1"/>
      <w:numFmt w:val="upperRoman"/>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E27A1"/>
    <w:multiLevelType w:val="hybridMultilevel"/>
    <w:tmpl w:val="CC94D080"/>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9" w15:restartNumberingAfterBreak="0">
    <w:nsid w:val="43042183"/>
    <w:multiLevelType w:val="hybridMultilevel"/>
    <w:tmpl w:val="D7FECEEA"/>
    <w:lvl w:ilvl="0" w:tplc="F68CE5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2F40EA"/>
    <w:multiLevelType w:val="hybridMultilevel"/>
    <w:tmpl w:val="4A38A564"/>
    <w:lvl w:ilvl="0" w:tplc="F68CE5A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D11949"/>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2116DC9"/>
    <w:multiLevelType w:val="hybridMultilevel"/>
    <w:tmpl w:val="EABA6F3A"/>
    <w:lvl w:ilvl="0" w:tplc="C5CC9F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3711E"/>
    <w:multiLevelType w:val="hybridMultilevel"/>
    <w:tmpl w:val="93860C22"/>
    <w:lvl w:ilvl="0" w:tplc="1CBCE2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48236">
    <w:abstractNumId w:val="6"/>
  </w:num>
  <w:num w:numId="2" w16cid:durableId="2076387810">
    <w:abstractNumId w:val="8"/>
  </w:num>
  <w:num w:numId="3" w16cid:durableId="46801434">
    <w:abstractNumId w:val="2"/>
  </w:num>
  <w:num w:numId="4" w16cid:durableId="1429542816">
    <w:abstractNumId w:val="3"/>
  </w:num>
  <w:num w:numId="5" w16cid:durableId="295835943">
    <w:abstractNumId w:val="15"/>
  </w:num>
  <w:num w:numId="6" w16cid:durableId="1589148435">
    <w:abstractNumId w:val="5"/>
  </w:num>
  <w:num w:numId="7" w16cid:durableId="1357464444">
    <w:abstractNumId w:val="7"/>
  </w:num>
  <w:num w:numId="8" w16cid:durableId="662903084">
    <w:abstractNumId w:val="10"/>
  </w:num>
  <w:num w:numId="9" w16cid:durableId="1700929562">
    <w:abstractNumId w:val="16"/>
  </w:num>
  <w:num w:numId="10" w16cid:durableId="1336687181">
    <w:abstractNumId w:val="17"/>
  </w:num>
  <w:num w:numId="11" w16cid:durableId="1342967835">
    <w:abstractNumId w:val="1"/>
  </w:num>
  <w:num w:numId="12" w16cid:durableId="527328150">
    <w:abstractNumId w:val="11"/>
  </w:num>
  <w:num w:numId="13" w16cid:durableId="513810211">
    <w:abstractNumId w:val="4"/>
  </w:num>
  <w:num w:numId="14" w16cid:durableId="2116166321">
    <w:abstractNumId w:val="13"/>
  </w:num>
  <w:num w:numId="15" w16cid:durableId="948120974">
    <w:abstractNumId w:val="14"/>
  </w:num>
  <w:num w:numId="16" w16cid:durableId="187570670">
    <w:abstractNumId w:val="9"/>
  </w:num>
  <w:num w:numId="17" w16cid:durableId="12919091">
    <w:abstractNumId w:val="0"/>
  </w:num>
  <w:num w:numId="18" w16cid:durableId="7410970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21458"/>
    <w:rsid w:val="00023DEE"/>
    <w:rsid w:val="00024F87"/>
    <w:rsid w:val="000347C2"/>
    <w:rsid w:val="00042788"/>
    <w:rsid w:val="0005177E"/>
    <w:rsid w:val="00071F3B"/>
    <w:rsid w:val="000844BE"/>
    <w:rsid w:val="00084611"/>
    <w:rsid w:val="000938C8"/>
    <w:rsid w:val="000A4B16"/>
    <w:rsid w:val="000B01CA"/>
    <w:rsid w:val="000C17FD"/>
    <w:rsid w:val="000C5241"/>
    <w:rsid w:val="000D718B"/>
    <w:rsid w:val="00110D20"/>
    <w:rsid w:val="00110F98"/>
    <w:rsid w:val="001129BF"/>
    <w:rsid w:val="00112A54"/>
    <w:rsid w:val="001146D1"/>
    <w:rsid w:val="00117635"/>
    <w:rsid w:val="00124F79"/>
    <w:rsid w:val="0012647E"/>
    <w:rsid w:val="00127BE0"/>
    <w:rsid w:val="0013210D"/>
    <w:rsid w:val="00136B8D"/>
    <w:rsid w:val="00145286"/>
    <w:rsid w:val="00157D06"/>
    <w:rsid w:val="00177B6C"/>
    <w:rsid w:val="00183F16"/>
    <w:rsid w:val="00192F4D"/>
    <w:rsid w:val="00195D60"/>
    <w:rsid w:val="001A2D01"/>
    <w:rsid w:val="001B098D"/>
    <w:rsid w:val="001B63FC"/>
    <w:rsid w:val="001C4614"/>
    <w:rsid w:val="001D4C43"/>
    <w:rsid w:val="001E26E4"/>
    <w:rsid w:val="001E4326"/>
    <w:rsid w:val="001F61B4"/>
    <w:rsid w:val="00226D48"/>
    <w:rsid w:val="00244A21"/>
    <w:rsid w:val="00271FB2"/>
    <w:rsid w:val="002908A0"/>
    <w:rsid w:val="002924A5"/>
    <w:rsid w:val="002A72A0"/>
    <w:rsid w:val="002A7EB0"/>
    <w:rsid w:val="002B1D56"/>
    <w:rsid w:val="002C6660"/>
    <w:rsid w:val="002D0497"/>
    <w:rsid w:val="002D27DC"/>
    <w:rsid w:val="002E239A"/>
    <w:rsid w:val="002E37D1"/>
    <w:rsid w:val="002E66E4"/>
    <w:rsid w:val="003002A7"/>
    <w:rsid w:val="0030116A"/>
    <w:rsid w:val="003044C6"/>
    <w:rsid w:val="00331E72"/>
    <w:rsid w:val="00355520"/>
    <w:rsid w:val="00362E4C"/>
    <w:rsid w:val="00367167"/>
    <w:rsid w:val="00367CDF"/>
    <w:rsid w:val="00371C7B"/>
    <w:rsid w:val="00377959"/>
    <w:rsid w:val="00391EC6"/>
    <w:rsid w:val="0039785E"/>
    <w:rsid w:val="003A0C66"/>
    <w:rsid w:val="003B2CC6"/>
    <w:rsid w:val="003C1530"/>
    <w:rsid w:val="003C233D"/>
    <w:rsid w:val="003D2890"/>
    <w:rsid w:val="0045064C"/>
    <w:rsid w:val="00451564"/>
    <w:rsid w:val="00452CED"/>
    <w:rsid w:val="00460225"/>
    <w:rsid w:val="00462A6E"/>
    <w:rsid w:val="00482725"/>
    <w:rsid w:val="004A1250"/>
    <w:rsid w:val="004C2749"/>
    <w:rsid w:val="004C41B1"/>
    <w:rsid w:val="004D1B50"/>
    <w:rsid w:val="004E2D6B"/>
    <w:rsid w:val="004E321C"/>
    <w:rsid w:val="004F3F48"/>
    <w:rsid w:val="004F7D23"/>
    <w:rsid w:val="00501FC1"/>
    <w:rsid w:val="00507F38"/>
    <w:rsid w:val="00516331"/>
    <w:rsid w:val="00523832"/>
    <w:rsid w:val="00525252"/>
    <w:rsid w:val="00527743"/>
    <w:rsid w:val="005371E7"/>
    <w:rsid w:val="00537EBB"/>
    <w:rsid w:val="0054549A"/>
    <w:rsid w:val="005527CE"/>
    <w:rsid w:val="00561103"/>
    <w:rsid w:val="00561CFF"/>
    <w:rsid w:val="00564065"/>
    <w:rsid w:val="0056640B"/>
    <w:rsid w:val="0057729C"/>
    <w:rsid w:val="00593083"/>
    <w:rsid w:val="005A2EC4"/>
    <w:rsid w:val="005C1384"/>
    <w:rsid w:val="005C56C9"/>
    <w:rsid w:val="005D2B8D"/>
    <w:rsid w:val="005E24D0"/>
    <w:rsid w:val="005E2B54"/>
    <w:rsid w:val="0060251B"/>
    <w:rsid w:val="0061080C"/>
    <w:rsid w:val="00611758"/>
    <w:rsid w:val="00617DC2"/>
    <w:rsid w:val="00632D10"/>
    <w:rsid w:val="006345CC"/>
    <w:rsid w:val="006422A0"/>
    <w:rsid w:val="006464F7"/>
    <w:rsid w:val="006527CA"/>
    <w:rsid w:val="00653218"/>
    <w:rsid w:val="006542C9"/>
    <w:rsid w:val="0066238A"/>
    <w:rsid w:val="006764AE"/>
    <w:rsid w:val="006935D7"/>
    <w:rsid w:val="00694B0B"/>
    <w:rsid w:val="006A0EF5"/>
    <w:rsid w:val="006A7769"/>
    <w:rsid w:val="006B3601"/>
    <w:rsid w:val="006C20A5"/>
    <w:rsid w:val="006C2AE5"/>
    <w:rsid w:val="006D1EB5"/>
    <w:rsid w:val="006F4DB7"/>
    <w:rsid w:val="007011CB"/>
    <w:rsid w:val="00704174"/>
    <w:rsid w:val="0071289B"/>
    <w:rsid w:val="00723B5D"/>
    <w:rsid w:val="0073637C"/>
    <w:rsid w:val="00737C82"/>
    <w:rsid w:val="00750028"/>
    <w:rsid w:val="0075578D"/>
    <w:rsid w:val="00762AAE"/>
    <w:rsid w:val="007733D8"/>
    <w:rsid w:val="00774F01"/>
    <w:rsid w:val="00785ED5"/>
    <w:rsid w:val="007A6215"/>
    <w:rsid w:val="007A7583"/>
    <w:rsid w:val="007B18E8"/>
    <w:rsid w:val="007B677C"/>
    <w:rsid w:val="007B6F40"/>
    <w:rsid w:val="007B7DDD"/>
    <w:rsid w:val="007C3E85"/>
    <w:rsid w:val="007C73F2"/>
    <w:rsid w:val="007E529D"/>
    <w:rsid w:val="007E680E"/>
    <w:rsid w:val="007E7804"/>
    <w:rsid w:val="007F35DA"/>
    <w:rsid w:val="0081595A"/>
    <w:rsid w:val="0082065A"/>
    <w:rsid w:val="008258F6"/>
    <w:rsid w:val="00833C45"/>
    <w:rsid w:val="00850C80"/>
    <w:rsid w:val="00857EB9"/>
    <w:rsid w:val="00871689"/>
    <w:rsid w:val="00876356"/>
    <w:rsid w:val="008827ED"/>
    <w:rsid w:val="00882CD3"/>
    <w:rsid w:val="008942D0"/>
    <w:rsid w:val="008943ED"/>
    <w:rsid w:val="00897D38"/>
    <w:rsid w:val="008A33C6"/>
    <w:rsid w:val="008B31B3"/>
    <w:rsid w:val="008B5A88"/>
    <w:rsid w:val="008B769D"/>
    <w:rsid w:val="008C623E"/>
    <w:rsid w:val="008C7470"/>
    <w:rsid w:val="008C7A19"/>
    <w:rsid w:val="008D01B0"/>
    <w:rsid w:val="008D399E"/>
    <w:rsid w:val="008D4ECE"/>
    <w:rsid w:val="008E0BA3"/>
    <w:rsid w:val="008E5D3E"/>
    <w:rsid w:val="008F1F02"/>
    <w:rsid w:val="008F5AAC"/>
    <w:rsid w:val="00901812"/>
    <w:rsid w:val="00917C51"/>
    <w:rsid w:val="009224EE"/>
    <w:rsid w:val="009247DE"/>
    <w:rsid w:val="00933B6A"/>
    <w:rsid w:val="00947D17"/>
    <w:rsid w:val="00964562"/>
    <w:rsid w:val="00964C32"/>
    <w:rsid w:val="0097063A"/>
    <w:rsid w:val="00970EE1"/>
    <w:rsid w:val="00975DF9"/>
    <w:rsid w:val="009763A5"/>
    <w:rsid w:val="009813D6"/>
    <w:rsid w:val="009909FA"/>
    <w:rsid w:val="009A1CA4"/>
    <w:rsid w:val="009A2249"/>
    <w:rsid w:val="009A3A47"/>
    <w:rsid w:val="009B0147"/>
    <w:rsid w:val="009B0D9E"/>
    <w:rsid w:val="009B1F07"/>
    <w:rsid w:val="009B4082"/>
    <w:rsid w:val="009B5736"/>
    <w:rsid w:val="009C06D1"/>
    <w:rsid w:val="009D04BA"/>
    <w:rsid w:val="009D2BC4"/>
    <w:rsid w:val="009D5D5D"/>
    <w:rsid w:val="009E5B4A"/>
    <w:rsid w:val="00A147AA"/>
    <w:rsid w:val="00A17E11"/>
    <w:rsid w:val="00A25BF7"/>
    <w:rsid w:val="00A32201"/>
    <w:rsid w:val="00A327F2"/>
    <w:rsid w:val="00A328B1"/>
    <w:rsid w:val="00A35222"/>
    <w:rsid w:val="00A367BA"/>
    <w:rsid w:val="00A36A6B"/>
    <w:rsid w:val="00A375E2"/>
    <w:rsid w:val="00A405D7"/>
    <w:rsid w:val="00A40834"/>
    <w:rsid w:val="00A47251"/>
    <w:rsid w:val="00A533B7"/>
    <w:rsid w:val="00A65B73"/>
    <w:rsid w:val="00A67445"/>
    <w:rsid w:val="00A779B6"/>
    <w:rsid w:val="00A8483C"/>
    <w:rsid w:val="00A8624D"/>
    <w:rsid w:val="00A90053"/>
    <w:rsid w:val="00A9395A"/>
    <w:rsid w:val="00A94AA8"/>
    <w:rsid w:val="00AA625A"/>
    <w:rsid w:val="00AA63DD"/>
    <w:rsid w:val="00AB1F9A"/>
    <w:rsid w:val="00AC1D0B"/>
    <w:rsid w:val="00AD261D"/>
    <w:rsid w:val="00AD6C15"/>
    <w:rsid w:val="00AE0665"/>
    <w:rsid w:val="00AE347F"/>
    <w:rsid w:val="00AF14E2"/>
    <w:rsid w:val="00AF1F64"/>
    <w:rsid w:val="00B00316"/>
    <w:rsid w:val="00B060E6"/>
    <w:rsid w:val="00B07BD3"/>
    <w:rsid w:val="00B12FFC"/>
    <w:rsid w:val="00B22831"/>
    <w:rsid w:val="00B249A6"/>
    <w:rsid w:val="00B26DCC"/>
    <w:rsid w:val="00B331FC"/>
    <w:rsid w:val="00B37380"/>
    <w:rsid w:val="00B46F61"/>
    <w:rsid w:val="00B576E1"/>
    <w:rsid w:val="00B57DAE"/>
    <w:rsid w:val="00B60BA7"/>
    <w:rsid w:val="00B63B92"/>
    <w:rsid w:val="00B86E37"/>
    <w:rsid w:val="00B87ED0"/>
    <w:rsid w:val="00B9461D"/>
    <w:rsid w:val="00BA6A2E"/>
    <w:rsid w:val="00BA7B16"/>
    <w:rsid w:val="00BC1676"/>
    <w:rsid w:val="00BD5B8E"/>
    <w:rsid w:val="00BD5E57"/>
    <w:rsid w:val="00BE4EC3"/>
    <w:rsid w:val="00BF45D3"/>
    <w:rsid w:val="00C00FF9"/>
    <w:rsid w:val="00C0764F"/>
    <w:rsid w:val="00C17239"/>
    <w:rsid w:val="00C20B84"/>
    <w:rsid w:val="00C20D88"/>
    <w:rsid w:val="00C227B4"/>
    <w:rsid w:val="00C4725D"/>
    <w:rsid w:val="00C55697"/>
    <w:rsid w:val="00C60895"/>
    <w:rsid w:val="00C630B6"/>
    <w:rsid w:val="00C672D1"/>
    <w:rsid w:val="00C74823"/>
    <w:rsid w:val="00C755AB"/>
    <w:rsid w:val="00C82D38"/>
    <w:rsid w:val="00C86776"/>
    <w:rsid w:val="00CB7895"/>
    <w:rsid w:val="00CC77D1"/>
    <w:rsid w:val="00CC77E5"/>
    <w:rsid w:val="00CD3BD5"/>
    <w:rsid w:val="00CD6C94"/>
    <w:rsid w:val="00CE26A3"/>
    <w:rsid w:val="00CE5B65"/>
    <w:rsid w:val="00CE7ADA"/>
    <w:rsid w:val="00CF136A"/>
    <w:rsid w:val="00D036D9"/>
    <w:rsid w:val="00D03781"/>
    <w:rsid w:val="00D33BFC"/>
    <w:rsid w:val="00D40D15"/>
    <w:rsid w:val="00D40F43"/>
    <w:rsid w:val="00D47243"/>
    <w:rsid w:val="00D653C4"/>
    <w:rsid w:val="00D717A9"/>
    <w:rsid w:val="00D749C3"/>
    <w:rsid w:val="00D74A9D"/>
    <w:rsid w:val="00D75DEE"/>
    <w:rsid w:val="00D8110F"/>
    <w:rsid w:val="00D84976"/>
    <w:rsid w:val="00D85C17"/>
    <w:rsid w:val="00D9183E"/>
    <w:rsid w:val="00D94DF6"/>
    <w:rsid w:val="00D96569"/>
    <w:rsid w:val="00DA062F"/>
    <w:rsid w:val="00DB1DF9"/>
    <w:rsid w:val="00DB7215"/>
    <w:rsid w:val="00DC1B14"/>
    <w:rsid w:val="00DC389C"/>
    <w:rsid w:val="00DC5687"/>
    <w:rsid w:val="00DD72E6"/>
    <w:rsid w:val="00DE7803"/>
    <w:rsid w:val="00DF19CD"/>
    <w:rsid w:val="00E00189"/>
    <w:rsid w:val="00E20183"/>
    <w:rsid w:val="00E2048D"/>
    <w:rsid w:val="00E301F2"/>
    <w:rsid w:val="00E44EF2"/>
    <w:rsid w:val="00E5287B"/>
    <w:rsid w:val="00E54043"/>
    <w:rsid w:val="00E54C82"/>
    <w:rsid w:val="00E60579"/>
    <w:rsid w:val="00E727DF"/>
    <w:rsid w:val="00E87306"/>
    <w:rsid w:val="00E913E0"/>
    <w:rsid w:val="00E92CC7"/>
    <w:rsid w:val="00E97D4A"/>
    <w:rsid w:val="00EA4DF0"/>
    <w:rsid w:val="00EB170B"/>
    <w:rsid w:val="00EB39E5"/>
    <w:rsid w:val="00EB494E"/>
    <w:rsid w:val="00EC55DE"/>
    <w:rsid w:val="00ED0CC4"/>
    <w:rsid w:val="00EE26C1"/>
    <w:rsid w:val="00EE3BEE"/>
    <w:rsid w:val="00F03133"/>
    <w:rsid w:val="00F0380E"/>
    <w:rsid w:val="00F04990"/>
    <w:rsid w:val="00F10F68"/>
    <w:rsid w:val="00F151E6"/>
    <w:rsid w:val="00F205C0"/>
    <w:rsid w:val="00F251EB"/>
    <w:rsid w:val="00F3634C"/>
    <w:rsid w:val="00F4133E"/>
    <w:rsid w:val="00F432C5"/>
    <w:rsid w:val="00F47A1F"/>
    <w:rsid w:val="00F5317B"/>
    <w:rsid w:val="00F70EC2"/>
    <w:rsid w:val="00F74DF0"/>
    <w:rsid w:val="00F80D46"/>
    <w:rsid w:val="00F81C85"/>
    <w:rsid w:val="00F92088"/>
    <w:rsid w:val="00FA350A"/>
    <w:rsid w:val="00FA7278"/>
    <w:rsid w:val="00FB5D08"/>
    <w:rsid w:val="00FD338B"/>
    <w:rsid w:val="00FD6763"/>
    <w:rsid w:val="00FE0FB2"/>
    <w:rsid w:val="00FE763F"/>
    <w:rsid w:val="00FF4AF0"/>
    <w:rsid w:val="00FF4F5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6CADBA"/>
  <w15:docId w15:val="{8CA74F7A-AE1B-464A-B190-047DBC4A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 w:type="paragraph" w:styleId="BodyTextIndent2">
    <w:name w:val="Body Text Indent 2"/>
    <w:basedOn w:val="Normal"/>
    <w:link w:val="BodyTextIndent2Char"/>
    <w:rsid w:val="005371E7"/>
    <w:pPr>
      <w:spacing w:after="120" w:line="480" w:lineRule="auto"/>
      <w:ind w:left="360"/>
    </w:pPr>
  </w:style>
  <w:style w:type="character" w:customStyle="1" w:styleId="BodyTextIndent2Char">
    <w:name w:val="Body Text Indent 2 Char"/>
    <w:basedOn w:val="DefaultParagraphFont"/>
    <w:link w:val="BodyTextIndent2"/>
    <w:rsid w:val="005371E7"/>
    <w:rPr>
      <w:sz w:val="24"/>
      <w:szCs w:val="24"/>
    </w:rPr>
  </w:style>
  <w:style w:type="paragraph" w:styleId="BodyTextIndent">
    <w:name w:val="Body Text Indent"/>
    <w:basedOn w:val="Normal"/>
    <w:link w:val="BodyTextIndentChar"/>
    <w:rsid w:val="005371E7"/>
    <w:pPr>
      <w:spacing w:after="120"/>
      <w:ind w:left="360"/>
    </w:pPr>
  </w:style>
  <w:style w:type="character" w:customStyle="1" w:styleId="BodyTextIndentChar">
    <w:name w:val="Body Text Indent Char"/>
    <w:basedOn w:val="DefaultParagraphFont"/>
    <w:link w:val="BodyTextIndent"/>
    <w:rsid w:val="005371E7"/>
    <w:rPr>
      <w:sz w:val="24"/>
      <w:szCs w:val="24"/>
    </w:rPr>
  </w:style>
  <w:style w:type="character" w:styleId="UnresolvedMention">
    <w:name w:val="Unresolved Mention"/>
    <w:basedOn w:val="DefaultParagraphFont"/>
    <w:uiPriority w:val="99"/>
    <w:semiHidden/>
    <w:unhideWhenUsed/>
    <w:rsid w:val="006F4DB7"/>
    <w:rPr>
      <w:color w:val="605E5C"/>
      <w:shd w:val="clear" w:color="auto" w:fill="E1DFDD"/>
    </w:rPr>
  </w:style>
  <w:style w:type="paragraph" w:customStyle="1" w:styleId="paragraph">
    <w:name w:val="paragraph"/>
    <w:basedOn w:val="Normal"/>
    <w:rsid w:val="00C630B6"/>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630B6"/>
  </w:style>
  <w:style w:type="character" w:customStyle="1" w:styleId="eop">
    <w:name w:val="eop"/>
    <w:basedOn w:val="DefaultParagraphFont"/>
    <w:rsid w:val="00C630B6"/>
  </w:style>
  <w:style w:type="paragraph" w:styleId="FootnoteText">
    <w:name w:val="footnote text"/>
    <w:basedOn w:val="Normal"/>
    <w:link w:val="FootnoteTextChar"/>
    <w:semiHidden/>
    <w:unhideWhenUsed/>
    <w:rsid w:val="00A65B73"/>
    <w:rPr>
      <w:sz w:val="20"/>
      <w:szCs w:val="20"/>
    </w:rPr>
  </w:style>
  <w:style w:type="character" w:customStyle="1" w:styleId="FootnoteTextChar">
    <w:name w:val="Footnote Text Char"/>
    <w:basedOn w:val="DefaultParagraphFont"/>
    <w:link w:val="FootnoteText"/>
    <w:semiHidden/>
    <w:rsid w:val="00A6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2167">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52136622">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84146193">
      <w:bodyDiv w:val="1"/>
      <w:marLeft w:val="0"/>
      <w:marRight w:val="0"/>
      <w:marTop w:val="0"/>
      <w:marBottom w:val="0"/>
      <w:divBdr>
        <w:top w:val="none" w:sz="0" w:space="0" w:color="auto"/>
        <w:left w:val="none" w:sz="0" w:space="0" w:color="auto"/>
        <w:bottom w:val="none" w:sz="0" w:space="0" w:color="auto"/>
        <w:right w:val="none" w:sz="0" w:space="0" w:color="auto"/>
      </w:divBdr>
    </w:div>
    <w:div w:id="885725280">
      <w:bodyDiv w:val="1"/>
      <w:marLeft w:val="0"/>
      <w:marRight w:val="0"/>
      <w:marTop w:val="0"/>
      <w:marBottom w:val="0"/>
      <w:divBdr>
        <w:top w:val="none" w:sz="0" w:space="0" w:color="auto"/>
        <w:left w:val="none" w:sz="0" w:space="0" w:color="auto"/>
        <w:bottom w:val="none" w:sz="0" w:space="0" w:color="auto"/>
        <w:right w:val="none" w:sz="0" w:space="0" w:color="auto"/>
      </w:divBdr>
    </w:div>
    <w:div w:id="997418133">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ir.quality@dc.go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579F-1092-4852-90B0-72054FD1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415</TotalTime>
  <Pages>10</Pages>
  <Words>3260</Words>
  <Characters>17307</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20526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Ours, Stephen (DOEE)</cp:lastModifiedBy>
  <cp:revision>5</cp:revision>
  <cp:lastPrinted>2017-07-24T13:11:00Z</cp:lastPrinted>
  <dcterms:created xsi:type="dcterms:W3CDTF">2023-04-11T14:06:00Z</dcterms:created>
  <dcterms:modified xsi:type="dcterms:W3CDTF">2023-04-11T21:40:00Z</dcterms:modified>
</cp:coreProperties>
</file>