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0E33F8" w:rsidP="00564065">
      <w:r>
        <w:t>July 2</w:t>
      </w:r>
      <w:r w:rsidR="00CD3BD5">
        <w:t>, 201</w:t>
      </w:r>
      <w:r w:rsidR="00611164">
        <w:t>9</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067BE2" w:rsidRDefault="00045EF2" w:rsidP="00482725">
      <w:pPr>
        <w:jc w:val="both"/>
      </w:pPr>
      <w:r>
        <w:t>M</w:t>
      </w:r>
      <w:r w:rsidR="00194954">
        <w:t xml:space="preserve">r. </w:t>
      </w:r>
      <w:r w:rsidR="00140B84">
        <w:t>Thomas P. Jacobus, General Manager</w:t>
      </w:r>
    </w:p>
    <w:p w:rsidR="00140B84" w:rsidRDefault="00140B84" w:rsidP="00482725">
      <w:pPr>
        <w:jc w:val="both"/>
      </w:pPr>
      <w:r>
        <w:t>Washington Aqueduct</w:t>
      </w:r>
    </w:p>
    <w:p w:rsidR="00045EF2" w:rsidRDefault="00140B84" w:rsidP="00482725">
      <w:pPr>
        <w:jc w:val="both"/>
      </w:pPr>
      <w:r>
        <w:t>U.S. Army Corps of Engineers, Baltimore District</w:t>
      </w:r>
    </w:p>
    <w:p w:rsidR="00140B84" w:rsidRPr="00CD144E" w:rsidRDefault="00140B84" w:rsidP="00482725">
      <w:pPr>
        <w:jc w:val="both"/>
      </w:pPr>
      <w:r>
        <w:t>5900 MacArthur Boulevard NW</w:t>
      </w:r>
    </w:p>
    <w:p w:rsidR="00482725" w:rsidRDefault="00482725" w:rsidP="00482725">
      <w:r>
        <w:t>Washington DC 2</w:t>
      </w:r>
      <w:r w:rsidR="00004746">
        <w:t>00</w:t>
      </w:r>
      <w:r w:rsidR="00194954">
        <w:t>16</w:t>
      </w:r>
      <w:r w:rsidR="00140B84">
        <w:t>-2514</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5622AA">
        <w:rPr>
          <w:b/>
        </w:rPr>
        <w:t>6334-R2 through 6</w:t>
      </w:r>
      <w:r w:rsidR="005A6615">
        <w:rPr>
          <w:b/>
        </w:rPr>
        <w:t>33</w:t>
      </w:r>
      <w:r w:rsidR="005622AA">
        <w:rPr>
          <w:b/>
        </w:rPr>
        <w:t>6-R2</w:t>
      </w:r>
      <w:r w:rsidR="00004746">
        <w:rPr>
          <w:b/>
          <w:bCs/>
        </w:rPr>
        <w:t xml:space="preserve"> to </w:t>
      </w:r>
      <w:r w:rsidRPr="00D72CC2">
        <w:rPr>
          <w:b/>
          <w:bCs/>
        </w:rPr>
        <w:t xml:space="preserve">Operate </w:t>
      </w:r>
      <w:r w:rsidR="00860ECE">
        <w:rPr>
          <w:b/>
          <w:bCs/>
        </w:rPr>
        <w:t>T</w:t>
      </w:r>
      <w:r w:rsidR="005622AA">
        <w:rPr>
          <w:b/>
          <w:bCs/>
        </w:rPr>
        <w:t>hree</w:t>
      </w:r>
      <w:r w:rsidR="00A53495">
        <w:rPr>
          <w:b/>
          <w:bCs/>
        </w:rPr>
        <w:t xml:space="preserve"> </w:t>
      </w:r>
      <w:r w:rsidR="005F5962">
        <w:rPr>
          <w:b/>
          <w:bCs/>
        </w:rPr>
        <w:t>Dual Fuel</w:t>
      </w:r>
      <w:r w:rsidR="00067BE2">
        <w:rPr>
          <w:b/>
          <w:bCs/>
        </w:rPr>
        <w:t>-</w:t>
      </w:r>
      <w:r w:rsidR="00067BE2">
        <w:rPr>
          <w:b/>
          <w:bCs/>
        </w:rPr>
        <w:t>Fired</w:t>
      </w:r>
      <w:r w:rsidR="005F5962">
        <w:rPr>
          <w:b/>
          <w:bCs/>
        </w:rPr>
        <w:t xml:space="preserve"> (</w:t>
      </w:r>
      <w:r w:rsidR="00890DF6">
        <w:rPr>
          <w:b/>
          <w:bCs/>
        </w:rPr>
        <w:t>Natural Gas</w:t>
      </w:r>
      <w:r w:rsidR="005F5962">
        <w:rPr>
          <w:b/>
          <w:bCs/>
        </w:rPr>
        <w:t xml:space="preserve"> /No. 2 Fuel Oil) </w:t>
      </w:r>
      <w:r w:rsidRPr="00D72CC2">
        <w:rPr>
          <w:b/>
          <w:bCs/>
        </w:rPr>
        <w:t>Boiler</w:t>
      </w:r>
      <w:r w:rsidR="00460225">
        <w:rPr>
          <w:b/>
          <w:bCs/>
        </w:rPr>
        <w:t>s</w:t>
      </w:r>
      <w:r>
        <w:rPr>
          <w:b/>
          <w:bCs/>
        </w:rPr>
        <w:t xml:space="preserve"> </w:t>
      </w:r>
      <w:r w:rsidR="00901812">
        <w:rPr>
          <w:b/>
          <w:bCs/>
        </w:rPr>
        <w:t xml:space="preserve">at </w:t>
      </w:r>
      <w:proofErr w:type="spellStart"/>
      <w:r w:rsidR="005622AA">
        <w:rPr>
          <w:b/>
          <w:bCs/>
        </w:rPr>
        <w:t>Dalecarlia</w:t>
      </w:r>
      <w:proofErr w:type="spellEnd"/>
      <w:r w:rsidR="005622AA">
        <w:rPr>
          <w:b/>
          <w:bCs/>
        </w:rPr>
        <w:t xml:space="preserve"> Water Treatment Plant</w:t>
      </w:r>
      <w:r w:rsidR="00860ECE">
        <w:rPr>
          <w:b/>
          <w:bCs/>
        </w:rPr>
        <w:t>,</w:t>
      </w:r>
      <w:r w:rsidR="005A6615">
        <w:rPr>
          <w:b/>
          <w:bCs/>
        </w:rPr>
        <w:t xml:space="preserve"> </w:t>
      </w:r>
      <w:r w:rsidR="005622AA">
        <w:rPr>
          <w:b/>
          <w:bCs/>
        </w:rPr>
        <w:t>59</w:t>
      </w:r>
      <w:r w:rsidR="00B22C46">
        <w:rPr>
          <w:b/>
          <w:bCs/>
        </w:rPr>
        <w:t>00</w:t>
      </w:r>
      <w:r w:rsidR="005622AA">
        <w:rPr>
          <w:b/>
          <w:bCs/>
        </w:rPr>
        <w:t xml:space="preserve"> MacArthur Blvd. </w:t>
      </w:r>
      <w:r w:rsidR="00A53495">
        <w:rPr>
          <w:b/>
          <w:bCs/>
        </w:rPr>
        <w:t>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194954">
        <w:t>r</w:t>
      </w:r>
      <w:r>
        <w:t xml:space="preserve">. </w:t>
      </w:r>
      <w:r w:rsidR="00532D28">
        <w:t>Jacobus</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067BE2">
        <w:t xml:space="preserve">the </w:t>
      </w:r>
      <w:r w:rsidR="00532D28">
        <w:t>U.S. Army Corps of Engineers</w:t>
      </w:r>
      <w:r w:rsidR="00067BE2">
        <w:t>,</w:t>
      </w:r>
      <w:r w:rsidR="00532D28">
        <w:t xml:space="preserve"> </w:t>
      </w:r>
      <w:r w:rsidR="00067BE2">
        <w:t xml:space="preserve">Washington Aqueduct </w:t>
      </w:r>
      <w:r w:rsidR="00AC1D0B">
        <w:t>(</w:t>
      </w:r>
      <w:r w:rsidR="00024F87">
        <w:t>“</w:t>
      </w:r>
      <w:r w:rsidR="00AC1D0B">
        <w:t>the Permittee</w:t>
      </w:r>
      <w:r w:rsidR="00024F87">
        <w:t>”</w:t>
      </w:r>
      <w:r w:rsidR="00AC1D0B">
        <w:t xml:space="preserve">) to operate </w:t>
      </w:r>
      <w:r w:rsidR="00067BE2">
        <w:t xml:space="preserve">the </w:t>
      </w:r>
      <w:r w:rsidR="00AC1D0B">
        <w:t>th</w:t>
      </w:r>
      <w:r w:rsidR="00532D28">
        <w:t>ree</w:t>
      </w:r>
      <w:r w:rsidR="00C92542">
        <w:t xml:space="preserve"> (</w:t>
      </w:r>
      <w:r w:rsidR="00532D28">
        <w:t>3</w:t>
      </w:r>
      <w:r w:rsidR="00AC1D0B">
        <w:t xml:space="preserve">) </w:t>
      </w:r>
      <w:r w:rsidR="003426A6">
        <w:t>Hurst</w:t>
      </w:r>
      <w:r w:rsidR="00672C88">
        <w:t xml:space="preserve"> </w:t>
      </w:r>
      <w:r w:rsidR="001D5F76">
        <w:t>dual fuel-fired Scotch boilers</w:t>
      </w:r>
      <w:r w:rsidR="00067BE2">
        <w:t>, listed below,</w:t>
      </w:r>
      <w:r w:rsidR="001D5F76">
        <w:t xml:space="preserve"> </w:t>
      </w:r>
      <w:r>
        <w:t>located</w:t>
      </w:r>
      <w:r w:rsidR="00067BE2">
        <w:t xml:space="preserve"> at the </w:t>
      </w:r>
      <w:proofErr w:type="spellStart"/>
      <w:r w:rsidR="00067BE2">
        <w:t>Dalecarlia</w:t>
      </w:r>
      <w:proofErr w:type="spellEnd"/>
      <w:r w:rsidR="00067BE2">
        <w:t xml:space="preserve"> Water Treatment Plant (WTP)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10530" w:type="dxa"/>
        <w:tblInd w:w="-432" w:type="dxa"/>
        <w:tblLayout w:type="fixed"/>
        <w:tblLook w:val="04A0" w:firstRow="1" w:lastRow="0" w:firstColumn="1" w:lastColumn="0" w:noHBand="0" w:noVBand="1"/>
      </w:tblPr>
      <w:tblGrid>
        <w:gridCol w:w="2880"/>
        <w:gridCol w:w="1710"/>
        <w:gridCol w:w="1440"/>
        <w:gridCol w:w="1260"/>
        <w:gridCol w:w="2160"/>
        <w:gridCol w:w="1080"/>
      </w:tblGrid>
      <w:tr w:rsidR="002B57F4" w:rsidTr="00F178F0">
        <w:trPr>
          <w:trHeight w:val="825"/>
          <w:tblHeader/>
        </w:trPr>
        <w:tc>
          <w:tcPr>
            <w:tcW w:w="2880" w:type="dxa"/>
          </w:tcPr>
          <w:p w:rsidR="00B22C46" w:rsidRDefault="00B22C46" w:rsidP="00536A2C">
            <w:pPr>
              <w:tabs>
                <w:tab w:val="center" w:pos="4680"/>
              </w:tabs>
              <w:ind w:left="-18" w:firstLine="18"/>
              <w:jc w:val="center"/>
              <w:rPr>
                <w:b/>
              </w:rPr>
            </w:pPr>
            <w:r>
              <w:rPr>
                <w:b/>
              </w:rPr>
              <w:t xml:space="preserve">   Equipment</w:t>
            </w:r>
          </w:p>
          <w:p w:rsidR="00B22C46" w:rsidRPr="0071289B" w:rsidRDefault="00B22C46" w:rsidP="00536A2C">
            <w:pPr>
              <w:tabs>
                <w:tab w:val="center" w:pos="4680"/>
              </w:tabs>
              <w:ind w:left="-18" w:firstLine="18"/>
              <w:jc w:val="center"/>
              <w:rPr>
                <w:b/>
              </w:rPr>
            </w:pPr>
            <w:r>
              <w:rPr>
                <w:b/>
              </w:rPr>
              <w:t>Location</w:t>
            </w:r>
          </w:p>
        </w:tc>
        <w:tc>
          <w:tcPr>
            <w:tcW w:w="1710" w:type="dxa"/>
          </w:tcPr>
          <w:p w:rsidR="00AC47C6" w:rsidRDefault="00B22C46" w:rsidP="00536A2C">
            <w:pPr>
              <w:tabs>
                <w:tab w:val="center" w:pos="4680"/>
              </w:tabs>
              <w:jc w:val="center"/>
              <w:rPr>
                <w:b/>
              </w:rPr>
            </w:pPr>
            <w:r>
              <w:rPr>
                <w:b/>
              </w:rPr>
              <w:t>Emission Unit</w:t>
            </w:r>
          </w:p>
          <w:p w:rsidR="00B22C46" w:rsidRPr="0071289B" w:rsidRDefault="00B22C46" w:rsidP="00536A2C">
            <w:pPr>
              <w:tabs>
                <w:tab w:val="center" w:pos="4680"/>
              </w:tabs>
              <w:jc w:val="center"/>
              <w:rPr>
                <w:b/>
              </w:rPr>
            </w:pPr>
            <w:r>
              <w:rPr>
                <w:b/>
              </w:rPr>
              <w:t xml:space="preserve"> ID</w:t>
            </w:r>
          </w:p>
        </w:tc>
        <w:tc>
          <w:tcPr>
            <w:tcW w:w="1440" w:type="dxa"/>
          </w:tcPr>
          <w:p w:rsidR="00B22C46" w:rsidRDefault="00AC47C6" w:rsidP="00536A2C">
            <w:pPr>
              <w:tabs>
                <w:tab w:val="center" w:pos="4680"/>
              </w:tabs>
              <w:jc w:val="center"/>
              <w:rPr>
                <w:b/>
              </w:rPr>
            </w:pPr>
            <w:r>
              <w:rPr>
                <w:b/>
              </w:rPr>
              <w:t>Model Number</w:t>
            </w:r>
          </w:p>
        </w:tc>
        <w:tc>
          <w:tcPr>
            <w:tcW w:w="1260" w:type="dxa"/>
          </w:tcPr>
          <w:p w:rsidR="007F102C" w:rsidRDefault="00B22C46" w:rsidP="00536A2C">
            <w:pPr>
              <w:tabs>
                <w:tab w:val="center" w:pos="4680"/>
              </w:tabs>
              <w:jc w:val="center"/>
              <w:rPr>
                <w:b/>
              </w:rPr>
            </w:pPr>
            <w:r>
              <w:rPr>
                <w:b/>
              </w:rPr>
              <w:t xml:space="preserve">Serial </w:t>
            </w:r>
          </w:p>
          <w:p w:rsidR="00B22C46" w:rsidRPr="0071289B" w:rsidRDefault="00B22C46" w:rsidP="00536A2C">
            <w:pPr>
              <w:tabs>
                <w:tab w:val="center" w:pos="4680"/>
              </w:tabs>
              <w:jc w:val="center"/>
              <w:rPr>
                <w:b/>
              </w:rPr>
            </w:pPr>
            <w:r>
              <w:rPr>
                <w:b/>
              </w:rPr>
              <w:t>Number</w:t>
            </w:r>
          </w:p>
        </w:tc>
        <w:tc>
          <w:tcPr>
            <w:tcW w:w="2160" w:type="dxa"/>
          </w:tcPr>
          <w:p w:rsidR="00B22C46" w:rsidRPr="0071289B" w:rsidRDefault="00B22C46" w:rsidP="002B57F4">
            <w:pPr>
              <w:tabs>
                <w:tab w:val="center" w:pos="4680"/>
              </w:tabs>
              <w:ind w:left="-108" w:right="-108"/>
              <w:jc w:val="center"/>
              <w:rPr>
                <w:b/>
              </w:rPr>
            </w:pPr>
            <w:r>
              <w:rPr>
                <w:b/>
              </w:rPr>
              <w:t xml:space="preserve">Natural Gas </w:t>
            </w:r>
            <w:r w:rsidR="002B57F4">
              <w:rPr>
                <w:b/>
              </w:rPr>
              <w:t xml:space="preserve">/No. 2 Fuel Oil </w:t>
            </w:r>
            <w:r>
              <w:rPr>
                <w:b/>
              </w:rPr>
              <w:t xml:space="preserve">Rating </w:t>
            </w:r>
            <w:r w:rsidRPr="0071289B">
              <w:rPr>
                <w:b/>
              </w:rPr>
              <w:t>(MMBTU/</w:t>
            </w:r>
            <w:proofErr w:type="spellStart"/>
            <w:r w:rsidRPr="0071289B">
              <w:rPr>
                <w:b/>
              </w:rPr>
              <w:t>hr</w:t>
            </w:r>
            <w:proofErr w:type="spellEnd"/>
            <w:r w:rsidRPr="0071289B">
              <w:rPr>
                <w:b/>
              </w:rPr>
              <w:t>)</w:t>
            </w:r>
          </w:p>
        </w:tc>
        <w:tc>
          <w:tcPr>
            <w:tcW w:w="1080" w:type="dxa"/>
          </w:tcPr>
          <w:p w:rsidR="00B22C46" w:rsidRPr="0071289B" w:rsidRDefault="00B22C46" w:rsidP="00536A2C">
            <w:pPr>
              <w:tabs>
                <w:tab w:val="center" w:pos="4680"/>
              </w:tabs>
              <w:ind w:left="-108" w:right="-108"/>
              <w:jc w:val="center"/>
              <w:rPr>
                <w:b/>
              </w:rPr>
            </w:pPr>
            <w:r w:rsidRPr="0071289B">
              <w:rPr>
                <w:b/>
              </w:rPr>
              <w:t>Permit Number</w:t>
            </w:r>
          </w:p>
        </w:tc>
      </w:tr>
      <w:tr w:rsidR="002B57F4" w:rsidTr="00F178F0">
        <w:trPr>
          <w:trHeight w:val="591"/>
        </w:trPr>
        <w:tc>
          <w:tcPr>
            <w:tcW w:w="2880" w:type="dxa"/>
          </w:tcPr>
          <w:p w:rsidR="00B22C46" w:rsidRDefault="002C7614" w:rsidP="00536A2C">
            <w:pPr>
              <w:tabs>
                <w:tab w:val="center" w:pos="4680"/>
              </w:tabs>
              <w:ind w:right="-108"/>
            </w:pPr>
            <w:r>
              <w:t xml:space="preserve"> </w:t>
            </w:r>
            <w:proofErr w:type="spellStart"/>
            <w:r w:rsidR="00B22C46">
              <w:t>Dalecarlia</w:t>
            </w:r>
            <w:proofErr w:type="spellEnd"/>
            <w:r w:rsidR="00B22C46">
              <w:t xml:space="preserve"> WTP</w:t>
            </w:r>
          </w:p>
          <w:p w:rsidR="00B22C46" w:rsidRDefault="002C7614" w:rsidP="00536A2C">
            <w:pPr>
              <w:tabs>
                <w:tab w:val="center" w:pos="4680"/>
              </w:tabs>
              <w:ind w:left="-18" w:right="-108"/>
            </w:pPr>
            <w:r>
              <w:t xml:space="preserve">  </w:t>
            </w:r>
            <w:r w:rsidR="007F102C">
              <w:t xml:space="preserve">5900 MacArthur Blvd. </w:t>
            </w:r>
            <w:r w:rsidR="00B22C46">
              <w:t>NW</w:t>
            </w:r>
          </w:p>
          <w:p w:rsidR="00B22C46" w:rsidRDefault="002C7614" w:rsidP="00536A2C">
            <w:pPr>
              <w:tabs>
                <w:tab w:val="center" w:pos="4680"/>
              </w:tabs>
              <w:ind w:right="-108"/>
            </w:pPr>
            <w:r>
              <w:t xml:space="preserve">  </w:t>
            </w:r>
            <w:r w:rsidR="00B22C46">
              <w:t>Washington</w:t>
            </w:r>
            <w:r>
              <w:t>,</w:t>
            </w:r>
            <w:r w:rsidR="00B22C46">
              <w:t xml:space="preserve"> DC</w:t>
            </w:r>
          </w:p>
        </w:tc>
        <w:tc>
          <w:tcPr>
            <w:tcW w:w="1710" w:type="dxa"/>
          </w:tcPr>
          <w:p w:rsidR="00B22C46" w:rsidRDefault="00611E7F" w:rsidP="003426A6">
            <w:r>
              <w:t>Hurst Boiler #1</w:t>
            </w:r>
          </w:p>
        </w:tc>
        <w:tc>
          <w:tcPr>
            <w:tcW w:w="1440" w:type="dxa"/>
          </w:tcPr>
          <w:p w:rsidR="00B22C46" w:rsidRPr="00E9126A" w:rsidRDefault="00AC47C6" w:rsidP="00536A2C">
            <w:pPr>
              <w:ind w:left="-18" w:right="-108"/>
            </w:pPr>
            <w:r>
              <w:t>S4-X-125-15</w:t>
            </w:r>
          </w:p>
        </w:tc>
        <w:tc>
          <w:tcPr>
            <w:tcW w:w="1260" w:type="dxa"/>
          </w:tcPr>
          <w:p w:rsidR="00B22C46" w:rsidRDefault="00AC47C6" w:rsidP="00536A2C">
            <w:pPr>
              <w:ind w:left="-18" w:right="-108"/>
            </w:pPr>
            <w:r>
              <w:t>S625-15-27</w:t>
            </w:r>
          </w:p>
        </w:tc>
        <w:tc>
          <w:tcPr>
            <w:tcW w:w="2160" w:type="dxa"/>
          </w:tcPr>
          <w:p w:rsidR="00B22C46" w:rsidRDefault="00AC47C6" w:rsidP="00536A2C">
            <w:pPr>
              <w:jc w:val="center"/>
            </w:pPr>
            <w:r>
              <w:t>5.24</w:t>
            </w:r>
            <w:r w:rsidR="002B57F4">
              <w:t>/5.24</w:t>
            </w:r>
          </w:p>
        </w:tc>
        <w:tc>
          <w:tcPr>
            <w:tcW w:w="1080" w:type="dxa"/>
          </w:tcPr>
          <w:p w:rsidR="00B22C46" w:rsidRDefault="007F102C" w:rsidP="00536A2C">
            <w:pPr>
              <w:tabs>
                <w:tab w:val="center" w:pos="4680"/>
              </w:tabs>
              <w:jc w:val="center"/>
            </w:pPr>
            <w:r>
              <w:t>6334-R2</w:t>
            </w:r>
          </w:p>
        </w:tc>
      </w:tr>
      <w:tr w:rsidR="002B57F4" w:rsidTr="00F178F0">
        <w:trPr>
          <w:trHeight w:val="591"/>
        </w:trPr>
        <w:tc>
          <w:tcPr>
            <w:tcW w:w="2880" w:type="dxa"/>
          </w:tcPr>
          <w:p w:rsidR="007F102C" w:rsidRDefault="002C7614" w:rsidP="007F102C">
            <w:pPr>
              <w:tabs>
                <w:tab w:val="center" w:pos="4680"/>
              </w:tabs>
              <w:ind w:right="-108"/>
            </w:pPr>
            <w:r>
              <w:t xml:space="preserve"> </w:t>
            </w:r>
            <w:proofErr w:type="spellStart"/>
            <w:r w:rsidR="007F102C">
              <w:t>Dalecarlia</w:t>
            </w:r>
            <w:proofErr w:type="spellEnd"/>
            <w:r w:rsidR="007F102C">
              <w:t xml:space="preserve"> WTP</w:t>
            </w:r>
          </w:p>
          <w:p w:rsidR="007F102C" w:rsidRDefault="002C7614" w:rsidP="007F102C">
            <w:pPr>
              <w:tabs>
                <w:tab w:val="center" w:pos="4680"/>
              </w:tabs>
              <w:ind w:left="-18" w:right="-108"/>
            </w:pPr>
            <w:r>
              <w:t xml:space="preserve"> </w:t>
            </w:r>
            <w:r w:rsidR="007F102C">
              <w:t>5900 MacArthur Blvd. NW</w:t>
            </w:r>
          </w:p>
          <w:p w:rsidR="00B22C46" w:rsidRDefault="002C7614" w:rsidP="007F102C">
            <w:pPr>
              <w:tabs>
                <w:tab w:val="center" w:pos="4680"/>
              </w:tabs>
              <w:ind w:left="-18" w:right="-108"/>
            </w:pPr>
            <w:r>
              <w:t xml:space="preserve"> </w:t>
            </w:r>
            <w:r w:rsidR="007F102C">
              <w:t>Washington</w:t>
            </w:r>
            <w:r>
              <w:t>,</w:t>
            </w:r>
            <w:r w:rsidR="007F102C">
              <w:t xml:space="preserve"> DC</w:t>
            </w:r>
          </w:p>
        </w:tc>
        <w:tc>
          <w:tcPr>
            <w:tcW w:w="1710" w:type="dxa"/>
          </w:tcPr>
          <w:p w:rsidR="00B22C46" w:rsidRDefault="00AC47C6" w:rsidP="00536A2C">
            <w:r>
              <w:t>Hurst Boiler #2</w:t>
            </w:r>
          </w:p>
        </w:tc>
        <w:tc>
          <w:tcPr>
            <w:tcW w:w="1440" w:type="dxa"/>
          </w:tcPr>
          <w:p w:rsidR="00B22C46" w:rsidRPr="00E9126A" w:rsidRDefault="00AC47C6" w:rsidP="00536A2C">
            <w:pPr>
              <w:ind w:left="-18" w:right="-108"/>
            </w:pPr>
            <w:r>
              <w:t>S4-X-125-15</w:t>
            </w:r>
          </w:p>
        </w:tc>
        <w:tc>
          <w:tcPr>
            <w:tcW w:w="1260" w:type="dxa"/>
          </w:tcPr>
          <w:p w:rsidR="00B22C46" w:rsidRDefault="00AC47C6" w:rsidP="00536A2C">
            <w:pPr>
              <w:ind w:left="-18" w:right="-108"/>
            </w:pPr>
            <w:r>
              <w:t>S625-15-28</w:t>
            </w:r>
          </w:p>
        </w:tc>
        <w:tc>
          <w:tcPr>
            <w:tcW w:w="2160" w:type="dxa"/>
          </w:tcPr>
          <w:p w:rsidR="00B22C46" w:rsidRDefault="00AC47C6" w:rsidP="00536A2C">
            <w:pPr>
              <w:jc w:val="center"/>
            </w:pPr>
            <w:r>
              <w:t>5.24</w:t>
            </w:r>
            <w:r w:rsidR="002B57F4">
              <w:t>/5.24</w:t>
            </w:r>
          </w:p>
        </w:tc>
        <w:tc>
          <w:tcPr>
            <w:tcW w:w="1080" w:type="dxa"/>
          </w:tcPr>
          <w:p w:rsidR="00B22C46" w:rsidRDefault="007F102C" w:rsidP="00DB3C9D">
            <w:pPr>
              <w:tabs>
                <w:tab w:val="center" w:pos="4680"/>
              </w:tabs>
              <w:jc w:val="center"/>
            </w:pPr>
            <w:r>
              <w:t>633</w:t>
            </w:r>
            <w:r w:rsidR="00DB3C9D">
              <w:t>5</w:t>
            </w:r>
            <w:r>
              <w:t>-R2</w:t>
            </w:r>
          </w:p>
        </w:tc>
      </w:tr>
      <w:tr w:rsidR="002B57F4" w:rsidTr="00F178F0">
        <w:trPr>
          <w:trHeight w:val="591"/>
        </w:trPr>
        <w:tc>
          <w:tcPr>
            <w:tcW w:w="2880" w:type="dxa"/>
          </w:tcPr>
          <w:p w:rsidR="007F102C" w:rsidRDefault="002C7614" w:rsidP="007F102C">
            <w:pPr>
              <w:tabs>
                <w:tab w:val="center" w:pos="4680"/>
              </w:tabs>
              <w:ind w:right="-108"/>
            </w:pPr>
            <w:r>
              <w:t xml:space="preserve"> </w:t>
            </w:r>
            <w:proofErr w:type="spellStart"/>
            <w:r w:rsidR="007F102C">
              <w:t>Dalecarlia</w:t>
            </w:r>
            <w:proofErr w:type="spellEnd"/>
            <w:r w:rsidR="007F102C">
              <w:t xml:space="preserve"> WTP</w:t>
            </w:r>
          </w:p>
          <w:p w:rsidR="007F102C" w:rsidRDefault="002C7614" w:rsidP="007F102C">
            <w:pPr>
              <w:tabs>
                <w:tab w:val="center" w:pos="4680"/>
              </w:tabs>
              <w:ind w:left="-18" w:right="-108"/>
            </w:pPr>
            <w:r>
              <w:t xml:space="preserve"> </w:t>
            </w:r>
            <w:r w:rsidR="007F102C">
              <w:t>5900 MacArthur Blvd. NW</w:t>
            </w:r>
          </w:p>
          <w:p w:rsidR="00B22C46" w:rsidRDefault="002C7614" w:rsidP="007F102C">
            <w:pPr>
              <w:tabs>
                <w:tab w:val="center" w:pos="4680"/>
              </w:tabs>
              <w:ind w:left="-18" w:right="-108"/>
            </w:pPr>
            <w:r>
              <w:t xml:space="preserve"> </w:t>
            </w:r>
            <w:r w:rsidR="007F102C">
              <w:t>Washington</w:t>
            </w:r>
            <w:r>
              <w:t>,</w:t>
            </w:r>
            <w:r w:rsidR="007F102C">
              <w:t xml:space="preserve"> DC</w:t>
            </w:r>
          </w:p>
        </w:tc>
        <w:tc>
          <w:tcPr>
            <w:tcW w:w="1710" w:type="dxa"/>
          </w:tcPr>
          <w:p w:rsidR="00B22C46" w:rsidRDefault="00DC51BD" w:rsidP="00536A2C">
            <w:r>
              <w:t>Hurst Boiler #3</w:t>
            </w:r>
          </w:p>
        </w:tc>
        <w:tc>
          <w:tcPr>
            <w:tcW w:w="1440" w:type="dxa"/>
          </w:tcPr>
          <w:p w:rsidR="00B22C46" w:rsidRPr="00E9126A" w:rsidRDefault="00AC47C6" w:rsidP="00536A2C">
            <w:pPr>
              <w:ind w:left="-18" w:right="-108"/>
            </w:pPr>
            <w:r>
              <w:t>S4-X-125-15</w:t>
            </w:r>
          </w:p>
        </w:tc>
        <w:tc>
          <w:tcPr>
            <w:tcW w:w="1260" w:type="dxa"/>
          </w:tcPr>
          <w:p w:rsidR="00B22C46" w:rsidRPr="00E9126A" w:rsidRDefault="00AC47C6" w:rsidP="00536A2C">
            <w:pPr>
              <w:ind w:left="-18" w:right="-108"/>
            </w:pPr>
            <w:r>
              <w:t>S625-15-26</w:t>
            </w:r>
          </w:p>
        </w:tc>
        <w:tc>
          <w:tcPr>
            <w:tcW w:w="2160" w:type="dxa"/>
          </w:tcPr>
          <w:p w:rsidR="00B22C46" w:rsidRPr="00494FF7" w:rsidRDefault="00AC47C6" w:rsidP="00536A2C">
            <w:pPr>
              <w:jc w:val="center"/>
            </w:pPr>
            <w:r>
              <w:t>5.24</w:t>
            </w:r>
            <w:r w:rsidR="002B57F4">
              <w:t>/5.24</w:t>
            </w:r>
          </w:p>
        </w:tc>
        <w:tc>
          <w:tcPr>
            <w:tcW w:w="1080" w:type="dxa"/>
          </w:tcPr>
          <w:p w:rsidR="00B22C46" w:rsidRDefault="007F102C" w:rsidP="00DC51BD">
            <w:pPr>
              <w:tabs>
                <w:tab w:val="center" w:pos="4680"/>
              </w:tabs>
              <w:jc w:val="center"/>
            </w:pPr>
            <w:r>
              <w:t>633</w:t>
            </w:r>
            <w:r w:rsidR="00DB3C9D">
              <w:t>6</w:t>
            </w:r>
            <w:r>
              <w:t>-R</w:t>
            </w:r>
            <w:r w:rsidR="00DC51BD">
              <w:t>2</w:t>
            </w:r>
          </w:p>
        </w:tc>
      </w:tr>
    </w:tbl>
    <w:p w:rsidR="00883E7D" w:rsidRDefault="00883E7D"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7B48C1">
        <w:t>August</w:t>
      </w:r>
      <w:r w:rsidR="00B8576C">
        <w:t xml:space="preserve"> </w:t>
      </w:r>
      <w:r w:rsidR="00D04603">
        <w:t>21</w:t>
      </w:r>
      <w:r>
        <w:t>, 201</w:t>
      </w:r>
      <w:r w:rsidR="00B8576C">
        <w:t>8</w:t>
      </w:r>
      <w:r w:rsidR="00D04603">
        <w:t xml:space="preserve"> and </w:t>
      </w:r>
      <w:r w:rsidR="002C7614">
        <w:t>dated July 30, 2018,</w:t>
      </w:r>
      <w:r w:rsidR="00D04603">
        <w:t xml:space="preserve"> the </w:t>
      </w:r>
      <w:r>
        <w:t>application</w:t>
      </w:r>
      <w:r w:rsidR="00C755AB">
        <w:t>s</w:t>
      </w:r>
      <w:r>
        <w:t xml:space="preserve"> </w:t>
      </w:r>
      <w:r w:rsidR="00C755AB">
        <w:t>are</w:t>
      </w:r>
      <w:r>
        <w:t xml:space="preserve"> hereby approved, </w:t>
      </w:r>
      <w:r w:rsidR="00DC389C">
        <w:t>and the operation of the boilers</w:t>
      </w:r>
      <w:r>
        <w:t xml:space="preserve"> </w:t>
      </w:r>
      <w:r w:rsidR="00DC389C">
        <w:t xml:space="preserve">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w:t>
      </w:r>
      <w:r w:rsidR="00FC288E">
        <w:t xml:space="preserve">heating </w:t>
      </w:r>
      <w:r w:rsidR="00564065" w:rsidRPr="006A4B1F">
        <w:t>boiler</w:t>
      </w:r>
      <w:r w:rsidR="0081595A">
        <w:t>s</w:t>
      </w:r>
      <w:r w:rsidR="00564065" w:rsidRPr="006A4B1F">
        <w:t>.</w:t>
      </w:r>
    </w:p>
    <w:p w:rsidR="00564065" w:rsidRDefault="00564065" w:rsidP="00564065">
      <w:pPr>
        <w:ind w:left="720" w:hanging="360"/>
      </w:pPr>
      <w:r w:rsidRPr="006243B7">
        <w:lastRenderedPageBreak/>
        <w:t>b.</w:t>
      </w:r>
      <w:r w:rsidRPr="006243B7">
        <w:tab/>
        <w:t>This</w:t>
      </w:r>
      <w:r>
        <w:t xml:space="preserve"> </w:t>
      </w:r>
      <w:r w:rsidR="00C755AB">
        <w:t xml:space="preserve">set of </w:t>
      </w:r>
      <w:r>
        <w:t>permit</w:t>
      </w:r>
      <w:r w:rsidR="00C755AB">
        <w:t>s</w:t>
      </w:r>
      <w:r>
        <w:t xml:space="preserve"> will expire</w:t>
      </w:r>
      <w:r w:rsidRPr="006243B7">
        <w:t xml:space="preserve"> on</w:t>
      </w:r>
      <w:r w:rsidR="00611164">
        <w:t xml:space="preserve"> </w:t>
      </w:r>
      <w:r w:rsidR="000E33F8">
        <w:t>July 1</w:t>
      </w:r>
      <w:r>
        <w:t>, 202</w:t>
      </w:r>
      <w:r w:rsidR="00611164">
        <w:t>4</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067BE2">
        <w:t xml:space="preserve">March </w:t>
      </w:r>
      <w:r w:rsidR="000E33F8">
        <w:t>31</w:t>
      </w:r>
      <w:bookmarkStart w:id="0" w:name="_GoBack"/>
      <w:bookmarkEnd w:id="0"/>
      <w:r w:rsidR="00136B8D">
        <w:t>, 202</w:t>
      </w:r>
      <w:r w:rsidR="00750226">
        <w:t>4</w:t>
      </w:r>
      <w:r>
        <w:t xml:space="preserve">. </w:t>
      </w:r>
      <w:r w:rsidRPr="006A4B1F">
        <w:t>[20 DCMR 200.4]</w:t>
      </w:r>
    </w:p>
    <w:p w:rsidR="00564065" w:rsidRDefault="00564065" w:rsidP="00564065">
      <w:pPr>
        <w:ind w:left="720" w:hanging="360"/>
      </w:pPr>
    </w:p>
    <w:p w:rsidR="00564065" w:rsidRDefault="00211F9E" w:rsidP="00B02A6F">
      <w:pPr>
        <w:pStyle w:val="ListParagraph"/>
        <w:numPr>
          <w:ilvl w:val="0"/>
          <w:numId w:val="1"/>
        </w:numPr>
      </w:pPr>
      <w:r>
        <w:t>O</w:t>
      </w:r>
      <w:r w:rsidR="00564065">
        <w:t xml:space="preserve">peration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rsidR="00B02A6F" w:rsidRDefault="00B02A6F" w:rsidP="00B02A6F">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rsidR="00067BE2">
        <w:t>,</w:t>
      </w:r>
      <w:r w:rsidR="00750226">
        <w:t xml:space="preserve"> which supersedes Permit Nos. 6334-R1, 6335-R1 and 6336-R1</w:t>
      </w:r>
      <w:r w:rsidR="00067BE2">
        <w:t>,</w:t>
      </w:r>
      <w:r w:rsidR="00750226">
        <w:t xml:space="preserve"> </w:t>
      </w:r>
      <w:r>
        <w:t>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211F9E" w:rsidP="00564065">
      <w:pPr>
        <w:numPr>
          <w:ilvl w:val="0"/>
          <w:numId w:val="1"/>
        </w:numPr>
      </w:pPr>
      <w:r>
        <w:t>Emergency situations shall be handled in accordance with the provisions of 20 DCMR 302.7(a) through (c).</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054D46" w:rsidRDefault="00054D46" w:rsidP="00564065">
      <w:pPr>
        <w:ind w:left="360" w:hanging="360"/>
      </w:pPr>
    </w:p>
    <w:p w:rsidR="00564065" w:rsidRDefault="0081595A" w:rsidP="00564065">
      <w:pPr>
        <w:numPr>
          <w:ilvl w:val="1"/>
          <w:numId w:val="4"/>
        </w:numPr>
        <w:tabs>
          <w:tab w:val="num" w:pos="720"/>
        </w:tabs>
        <w:ind w:left="720" w:hanging="360"/>
        <w:jc w:val="both"/>
      </w:pPr>
      <w:r>
        <w:t>Each of the</w:t>
      </w:r>
      <w:r w:rsidR="00564065">
        <w:t xml:space="preserve"> boiler</w:t>
      </w:r>
      <w:r>
        <w:t>s</w:t>
      </w:r>
      <w:r w:rsidR="00564065">
        <w:t xml:space="preserve"> (identified as </w:t>
      </w:r>
      <w:r w:rsidR="00211F9E">
        <w:t>Hurst Boiler #1, Hurst Boiler #2</w:t>
      </w:r>
      <w:r w:rsidR="00067BE2">
        <w:t>,</w:t>
      </w:r>
      <w:r w:rsidR="00C2728F">
        <w:t xml:space="preserve"> and</w:t>
      </w:r>
      <w:r w:rsidR="005B7510">
        <w:t xml:space="preserve"> </w:t>
      </w:r>
      <w:r w:rsidR="00211F9E">
        <w:t>Hurst Boiler #3</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D5F88" w:rsidRPr="00F94676" w:rsidTr="005D5F88">
        <w:trPr>
          <w:tblHeader/>
        </w:trPr>
        <w:tc>
          <w:tcPr>
            <w:tcW w:w="3870" w:type="dxa"/>
          </w:tcPr>
          <w:p w:rsidR="005D5F88" w:rsidRPr="00F940A6" w:rsidRDefault="005D5F88" w:rsidP="00B60EF2">
            <w:pPr>
              <w:tabs>
                <w:tab w:val="left" w:pos="-1440"/>
                <w:tab w:val="left" w:pos="1080"/>
              </w:tabs>
              <w:jc w:val="center"/>
              <w:rPr>
                <w:b/>
              </w:rPr>
            </w:pPr>
            <w:r w:rsidRPr="00F940A6">
              <w:rPr>
                <w:b/>
              </w:rPr>
              <w:t>Pollutant</w:t>
            </w:r>
          </w:p>
          <w:p w:rsidR="005D5F88" w:rsidRPr="00F940A6" w:rsidRDefault="005D5F88" w:rsidP="00B60EF2">
            <w:pPr>
              <w:tabs>
                <w:tab w:val="left" w:pos="-1440"/>
                <w:tab w:val="left" w:pos="1080"/>
              </w:tabs>
              <w:jc w:val="center"/>
              <w:rPr>
                <w:b/>
              </w:rPr>
            </w:pPr>
          </w:p>
        </w:tc>
        <w:tc>
          <w:tcPr>
            <w:tcW w:w="2160" w:type="dxa"/>
          </w:tcPr>
          <w:p w:rsidR="005D5F88" w:rsidRPr="00F940A6" w:rsidRDefault="005D5F88" w:rsidP="00B60EF2">
            <w:pPr>
              <w:tabs>
                <w:tab w:val="left" w:pos="-1440"/>
                <w:tab w:val="left" w:pos="1080"/>
              </w:tabs>
              <w:jc w:val="center"/>
              <w:rPr>
                <w:b/>
              </w:rPr>
            </w:pPr>
            <w:r w:rsidRPr="00F940A6">
              <w:rPr>
                <w:b/>
              </w:rPr>
              <w:t xml:space="preserve">Short-Term Limit </w:t>
            </w:r>
          </w:p>
          <w:p w:rsidR="005D5F88" w:rsidRPr="00F940A6" w:rsidRDefault="005D5F88"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D5F88" w:rsidRPr="00F940A6" w:rsidRDefault="005D5F88" w:rsidP="005D5F88">
            <w:pPr>
              <w:tabs>
                <w:tab w:val="left" w:pos="-1440"/>
                <w:tab w:val="left" w:pos="1080"/>
              </w:tabs>
              <w:jc w:val="center"/>
              <w:rPr>
                <w:b/>
              </w:rPr>
            </w:pPr>
            <w:r w:rsidRPr="00F940A6">
              <w:rPr>
                <w:b/>
              </w:rPr>
              <w:t xml:space="preserve">Short-Term Limit </w:t>
            </w:r>
          </w:p>
          <w:p w:rsidR="005D5F88" w:rsidRPr="00F940A6" w:rsidRDefault="005D5F88" w:rsidP="005D5F88">
            <w:pPr>
              <w:tabs>
                <w:tab w:val="left" w:pos="-1440"/>
                <w:tab w:val="left" w:pos="1080"/>
              </w:tabs>
              <w:jc w:val="center"/>
              <w:rPr>
                <w:b/>
              </w:rPr>
            </w:pPr>
            <w:r w:rsidRPr="00F940A6">
              <w:rPr>
                <w:b/>
              </w:rPr>
              <w:t>(</w:t>
            </w:r>
            <w:r>
              <w:rPr>
                <w:b/>
              </w:rPr>
              <w:t>No. 2 Fuel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D5F88" w:rsidRPr="00F94676" w:rsidTr="005D5F88">
        <w:tc>
          <w:tcPr>
            <w:tcW w:w="3870" w:type="dxa"/>
          </w:tcPr>
          <w:p w:rsidR="005D5F88" w:rsidRPr="00F940A6" w:rsidRDefault="005D5F88" w:rsidP="00B60EF2">
            <w:pPr>
              <w:tabs>
                <w:tab w:val="left" w:pos="-1440"/>
                <w:tab w:val="left" w:pos="1080"/>
              </w:tabs>
            </w:pPr>
            <w:r w:rsidRPr="00F940A6">
              <w:t>Carbon Monoxide (CO)</w:t>
            </w:r>
          </w:p>
        </w:tc>
        <w:tc>
          <w:tcPr>
            <w:tcW w:w="2160" w:type="dxa"/>
          </w:tcPr>
          <w:p w:rsidR="005D5F88" w:rsidRPr="0099125F" w:rsidRDefault="005D5F88" w:rsidP="00187009">
            <w:pPr>
              <w:tabs>
                <w:tab w:val="left" w:pos="-1440"/>
                <w:tab w:val="left" w:pos="1080"/>
              </w:tabs>
              <w:jc w:val="center"/>
            </w:pPr>
            <w:r>
              <w:t>0.441</w:t>
            </w:r>
          </w:p>
        </w:tc>
        <w:tc>
          <w:tcPr>
            <w:tcW w:w="2160" w:type="dxa"/>
          </w:tcPr>
          <w:p w:rsidR="005D5F88" w:rsidRDefault="009953BB" w:rsidP="00187009">
            <w:pPr>
              <w:tabs>
                <w:tab w:val="left" w:pos="-1440"/>
                <w:tab w:val="left" w:pos="1080"/>
              </w:tabs>
              <w:jc w:val="center"/>
            </w:pPr>
            <w:r>
              <w:t>0.187</w:t>
            </w:r>
          </w:p>
        </w:tc>
      </w:tr>
      <w:tr w:rsidR="005D5F88" w:rsidRPr="00F94676" w:rsidTr="005D5F88">
        <w:tc>
          <w:tcPr>
            <w:tcW w:w="3870" w:type="dxa"/>
          </w:tcPr>
          <w:p w:rsidR="005D5F88" w:rsidRPr="00F940A6" w:rsidRDefault="005D5F88" w:rsidP="00B60EF2">
            <w:pPr>
              <w:tabs>
                <w:tab w:val="left" w:pos="-1440"/>
                <w:tab w:val="left" w:pos="1080"/>
              </w:tabs>
            </w:pPr>
            <w:r w:rsidRPr="00F940A6">
              <w:lastRenderedPageBreak/>
              <w:t>Oxides of Nitrogen (NO</w:t>
            </w:r>
            <w:r w:rsidRPr="00F940A6">
              <w:rPr>
                <w:vertAlign w:val="subscript"/>
              </w:rPr>
              <w:t>x</w:t>
            </w:r>
            <w:r w:rsidRPr="00F940A6">
              <w:t>)</w:t>
            </w:r>
          </w:p>
        </w:tc>
        <w:tc>
          <w:tcPr>
            <w:tcW w:w="2160" w:type="dxa"/>
          </w:tcPr>
          <w:p w:rsidR="005D5F88" w:rsidRPr="0099125F" w:rsidRDefault="005D5F88" w:rsidP="00187009">
            <w:pPr>
              <w:tabs>
                <w:tab w:val="left" w:pos="-1440"/>
                <w:tab w:val="left" w:pos="1080"/>
              </w:tabs>
              <w:jc w:val="center"/>
            </w:pPr>
            <w:r>
              <w:t>0.525</w:t>
            </w:r>
          </w:p>
        </w:tc>
        <w:tc>
          <w:tcPr>
            <w:tcW w:w="2160" w:type="dxa"/>
          </w:tcPr>
          <w:p w:rsidR="005D5F88" w:rsidRDefault="009953BB" w:rsidP="00187009">
            <w:pPr>
              <w:tabs>
                <w:tab w:val="left" w:pos="-1440"/>
                <w:tab w:val="left" w:pos="1080"/>
              </w:tabs>
              <w:jc w:val="center"/>
            </w:pPr>
            <w:r>
              <w:t>0.748</w:t>
            </w:r>
          </w:p>
        </w:tc>
      </w:tr>
      <w:tr w:rsidR="005D5F88" w:rsidRPr="00F94676" w:rsidTr="005D5F88">
        <w:tc>
          <w:tcPr>
            <w:tcW w:w="3870" w:type="dxa"/>
          </w:tcPr>
          <w:p w:rsidR="005D5F88" w:rsidRPr="00F940A6" w:rsidRDefault="005D5F88" w:rsidP="00C74823">
            <w:pPr>
              <w:tabs>
                <w:tab w:val="left" w:pos="-1440"/>
                <w:tab w:val="left" w:pos="1080"/>
              </w:tabs>
            </w:pPr>
            <w:r w:rsidRPr="00F940A6">
              <w:t>Total Particulate Matter (PM Total)</w:t>
            </w:r>
            <w:r>
              <w:rPr>
                <w:vertAlign w:val="superscript"/>
              </w:rPr>
              <w:t>1</w:t>
            </w:r>
          </w:p>
        </w:tc>
        <w:tc>
          <w:tcPr>
            <w:tcW w:w="2160" w:type="dxa"/>
          </w:tcPr>
          <w:p w:rsidR="005D5F88" w:rsidRPr="0099125F" w:rsidRDefault="005D5F88" w:rsidP="006F7291">
            <w:pPr>
              <w:tabs>
                <w:tab w:val="left" w:pos="-1440"/>
                <w:tab w:val="left" w:pos="1080"/>
              </w:tabs>
              <w:jc w:val="center"/>
            </w:pPr>
            <w:r>
              <w:t>0.0</w:t>
            </w:r>
            <w:r w:rsidR="00067BE2">
              <w:t>4</w:t>
            </w:r>
            <w:r w:rsidR="006F7291">
              <w:t>0</w:t>
            </w:r>
          </w:p>
        </w:tc>
        <w:tc>
          <w:tcPr>
            <w:tcW w:w="2160" w:type="dxa"/>
          </w:tcPr>
          <w:p w:rsidR="005D5F88" w:rsidRDefault="009953BB" w:rsidP="00067BE2">
            <w:pPr>
              <w:tabs>
                <w:tab w:val="left" w:pos="-1440"/>
                <w:tab w:val="left" w:pos="1080"/>
              </w:tabs>
              <w:jc w:val="center"/>
            </w:pPr>
            <w:r>
              <w:t>0.</w:t>
            </w:r>
            <w:r w:rsidR="00067BE2">
              <w:t>123</w:t>
            </w:r>
          </w:p>
        </w:tc>
      </w:tr>
      <w:tr w:rsidR="005D5F88" w:rsidRPr="00F94676" w:rsidTr="005D5F88">
        <w:tc>
          <w:tcPr>
            <w:tcW w:w="3870" w:type="dxa"/>
          </w:tcPr>
          <w:p w:rsidR="005D5F88" w:rsidRPr="00F940A6" w:rsidRDefault="005D5F88" w:rsidP="00B60EF2">
            <w:pPr>
              <w:tabs>
                <w:tab w:val="left" w:pos="-1440"/>
                <w:tab w:val="left" w:pos="1080"/>
              </w:tabs>
            </w:pPr>
            <w:r w:rsidRPr="00F940A6">
              <w:t>Sulfur Dioxide (SO</w:t>
            </w:r>
            <w:r w:rsidRPr="00F940A6">
              <w:rPr>
                <w:vertAlign w:val="subscript"/>
              </w:rPr>
              <w:t>2</w:t>
            </w:r>
            <w:r w:rsidRPr="00F940A6">
              <w:t>)</w:t>
            </w:r>
          </w:p>
        </w:tc>
        <w:tc>
          <w:tcPr>
            <w:tcW w:w="2160" w:type="dxa"/>
          </w:tcPr>
          <w:p w:rsidR="005D5F88" w:rsidRPr="0099125F" w:rsidRDefault="005D5F88" w:rsidP="00187009">
            <w:pPr>
              <w:tabs>
                <w:tab w:val="left" w:pos="-1440"/>
                <w:tab w:val="left" w:pos="1080"/>
              </w:tabs>
              <w:jc w:val="center"/>
            </w:pPr>
            <w:r>
              <w:t>0.003</w:t>
            </w:r>
          </w:p>
        </w:tc>
        <w:tc>
          <w:tcPr>
            <w:tcW w:w="2160" w:type="dxa"/>
          </w:tcPr>
          <w:p w:rsidR="005D5F88" w:rsidRDefault="009953BB" w:rsidP="00187009">
            <w:pPr>
              <w:tabs>
                <w:tab w:val="left" w:pos="-1440"/>
                <w:tab w:val="left" w:pos="1080"/>
              </w:tabs>
              <w:jc w:val="center"/>
            </w:pPr>
            <w:r>
              <w:t>0.26</w:t>
            </w:r>
            <w:r w:rsidR="00067BE2">
              <w:t>9</w:t>
            </w:r>
          </w:p>
        </w:tc>
      </w:tr>
      <w:tr w:rsidR="005D5F88" w:rsidRPr="00F94676" w:rsidTr="005D5F88">
        <w:tc>
          <w:tcPr>
            <w:tcW w:w="3870" w:type="dxa"/>
          </w:tcPr>
          <w:p w:rsidR="005D5F88" w:rsidRPr="00F940A6" w:rsidRDefault="005D5F88" w:rsidP="00B60EF2">
            <w:pPr>
              <w:tabs>
                <w:tab w:val="left" w:pos="-1440"/>
                <w:tab w:val="left" w:pos="1080"/>
              </w:tabs>
            </w:pPr>
            <w:r>
              <w:t>Volatile Organic Compounds (VOC)</w:t>
            </w:r>
          </w:p>
        </w:tc>
        <w:tc>
          <w:tcPr>
            <w:tcW w:w="2160" w:type="dxa"/>
          </w:tcPr>
          <w:p w:rsidR="005D5F88" w:rsidRDefault="005D5F88" w:rsidP="00187009">
            <w:pPr>
              <w:tabs>
                <w:tab w:val="left" w:pos="-1440"/>
                <w:tab w:val="left" w:pos="1080"/>
              </w:tabs>
              <w:jc w:val="center"/>
            </w:pPr>
            <w:r>
              <w:t>0.029</w:t>
            </w:r>
          </w:p>
        </w:tc>
        <w:tc>
          <w:tcPr>
            <w:tcW w:w="2160" w:type="dxa"/>
          </w:tcPr>
          <w:p w:rsidR="005D5F88" w:rsidRDefault="009953BB" w:rsidP="00187009">
            <w:pPr>
              <w:tabs>
                <w:tab w:val="left" w:pos="-1440"/>
                <w:tab w:val="left" w:pos="1080"/>
              </w:tabs>
              <w:jc w:val="center"/>
            </w:pPr>
            <w:r>
              <w:t>0.0</w:t>
            </w:r>
            <w:r w:rsidR="00067BE2">
              <w:t>29</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B02A6F">
        <w:t>1</w:t>
      </w:r>
      <w:r w:rsidR="009E3D95">
        <w:t>2</w:t>
      </w:r>
      <w:r w:rsidR="00564065" w:rsidRPr="006A4B1F">
        <w:t xml:space="preserve"> pounds per million BTU. [20 DCMR 600.1].</w:t>
      </w:r>
      <w:r w:rsidR="00B803F0" w:rsidRPr="00B803F0">
        <w:rPr>
          <w:i/>
        </w:rPr>
        <w:t xml:space="preserve"> </w:t>
      </w:r>
      <w:r w:rsidR="00B803F0">
        <w:rPr>
          <w:i/>
        </w:rPr>
        <w:t xml:space="preserve">Note that, unless other credible evidence of a violation, such as test results required under Condition </w:t>
      </w:r>
      <w:proofErr w:type="gramStart"/>
      <w:r w:rsidR="00B803F0">
        <w:rPr>
          <w:i/>
        </w:rPr>
        <w:t>IV(</w:t>
      </w:r>
      <w:proofErr w:type="gramEnd"/>
      <w:r w:rsidR="00B803F0">
        <w:rPr>
          <w:i/>
        </w:rPr>
        <w:t>b), are identified, compliance with Condition III(a) of this permit will be considered compliance with this condition.</w:t>
      </w:r>
    </w:p>
    <w:p w:rsidR="00564065" w:rsidRPr="006243B7" w:rsidRDefault="00564065" w:rsidP="00564065">
      <w:pPr>
        <w:autoSpaceDE w:val="0"/>
        <w:autoSpaceDN w:val="0"/>
        <w:adjustRightInd w:val="0"/>
        <w:ind w:left="720" w:hanging="360"/>
      </w:pPr>
    </w:p>
    <w:p w:rsidR="00564065" w:rsidRDefault="00344B1E"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B42CCA" w:rsidP="00564065">
      <w:pPr>
        <w:numPr>
          <w:ilvl w:val="1"/>
          <w:numId w:val="2"/>
        </w:numPr>
        <w:ind w:left="720" w:hanging="720"/>
      </w:pPr>
      <w:r>
        <w:t xml:space="preserve">a. </w:t>
      </w:r>
      <w:r w:rsidR="008275B1" w:rsidRPr="00EF20BA">
        <w:t xml:space="preserve">The </w:t>
      </w:r>
      <w:r w:rsidR="0070131C">
        <w:t>primary fuel</w:t>
      </w:r>
      <w:r w:rsidR="008275B1" w:rsidRPr="00EF20BA">
        <w:t xml:space="preserve"> for </w:t>
      </w:r>
      <w:r w:rsidR="008275B1">
        <w:t xml:space="preserve">use in </w:t>
      </w:r>
      <w:r w:rsidR="008275B1" w:rsidRPr="00EF20BA">
        <w:t>the boilers shall be natural gas. [20 DCMR 201]</w:t>
      </w:r>
    </w:p>
    <w:p w:rsidR="008275B1" w:rsidRDefault="008275B1" w:rsidP="00564065">
      <w:pPr>
        <w:numPr>
          <w:ilvl w:val="1"/>
          <w:numId w:val="2"/>
        </w:numPr>
        <w:ind w:left="720" w:hanging="720"/>
      </w:pPr>
    </w:p>
    <w:p w:rsidR="008275B1" w:rsidRDefault="00B42CCA" w:rsidP="00B42CCA">
      <w:pPr>
        <w:ind w:left="630" w:hanging="630"/>
      </w:pPr>
      <w:r>
        <w:t xml:space="preserve">      b. </w:t>
      </w:r>
      <w:r w:rsidR="0070131C">
        <w:t xml:space="preserve">The </w:t>
      </w:r>
      <w:r w:rsidR="00067BE2">
        <w:t xml:space="preserve">sole </w:t>
      </w:r>
      <w:r w:rsidR="0070131C">
        <w:t>alternative fuel for the boilers shall be No. 2 fuel oil</w:t>
      </w:r>
      <w:r w:rsidR="00067BE2">
        <w:t>. The Permittee shall purchase only No. 2 fuel oil</w:t>
      </w:r>
      <w:r w:rsidR="0070131C">
        <w:t xml:space="preserve"> containing no greater than 0.0015% sulfur by weight</w:t>
      </w:r>
      <w:r w:rsidR="00067BE2">
        <w:t xml:space="preserve"> for use in the unit</w:t>
      </w:r>
      <w:r w:rsidR="002E0809">
        <w:t>. [20 DCMR 201 and 20 DCMR 801.3</w:t>
      </w:r>
      <w:r w:rsidR="0070131C">
        <w:t xml:space="preserve">] </w:t>
      </w:r>
    </w:p>
    <w:p w:rsidR="002E0809" w:rsidRDefault="002E0809" w:rsidP="00B42CCA">
      <w:pPr>
        <w:tabs>
          <w:tab w:val="left" w:pos="630"/>
        </w:tabs>
        <w:ind w:left="630" w:hanging="270"/>
      </w:pPr>
      <w:r>
        <w:lastRenderedPageBreak/>
        <w:t>c. This approval is valid for the specific activity cited in the application submitted to this office.  Any deviation from the specific activity is a violation of this permit document.</w:t>
      </w:r>
    </w:p>
    <w:p w:rsidR="002E0809" w:rsidRDefault="002E0809" w:rsidP="00537EBB">
      <w:pPr>
        <w:ind w:left="720" w:hanging="360"/>
      </w:pPr>
    </w:p>
    <w:p w:rsidR="00665E3E" w:rsidRDefault="00665E3E" w:rsidP="00B42CCA">
      <w:pPr>
        <w:pStyle w:val="ListParagraph"/>
        <w:numPr>
          <w:ilvl w:val="0"/>
          <w:numId w:val="5"/>
        </w:numPr>
        <w:ind w:left="630" w:hanging="270"/>
      </w:pPr>
      <w:r>
        <w:t xml:space="preserve">The boilers shall be operated at all times in a manner consistent with the </w:t>
      </w:r>
      <w:r w:rsidR="00C80FD8">
        <w:t xml:space="preserve">applicable </w:t>
      </w:r>
      <w:r>
        <w:t xml:space="preserve">manufacturer’s specifications for the </w:t>
      </w:r>
      <w:r w:rsidR="00C80FD8">
        <w:t>boiler</w:t>
      </w:r>
      <w:r>
        <w:t>. [20 DCMR 201]</w:t>
      </w:r>
    </w:p>
    <w:p w:rsidR="00665E3E" w:rsidRDefault="00665E3E" w:rsidP="00537EBB">
      <w:pPr>
        <w:ind w:left="720" w:hanging="360"/>
      </w:pPr>
    </w:p>
    <w:p w:rsidR="0017320E" w:rsidRDefault="0017320E" w:rsidP="0017320E">
      <w:pPr>
        <w:pStyle w:val="ListParagraph"/>
        <w:numPr>
          <w:ilvl w:val="0"/>
          <w:numId w:val="5"/>
        </w:numPr>
        <w:tabs>
          <w:tab w:val="left" w:pos="1440"/>
        </w:tabs>
      </w:pPr>
      <w:r>
        <w:t xml:space="preserve">The Permittee shall perform tune-ups on each unit </w:t>
      </w:r>
      <w:r w:rsidR="00273F08">
        <w:t>biennially</w:t>
      </w:r>
      <w:r>
        <w:t xml:space="preserve">, for each fuel that was burned during the 12-month period prior to the tune-up, unless such burning occurred only as a result of testing requirements in this permit. Tune-ups must be conducted no more than </w:t>
      </w:r>
      <w:r w:rsidR="00067BE2">
        <w:t>25</w:t>
      </w:r>
      <w:r>
        <w:t xml:space="preserve"> months after the previous tune-up. [40 CFR 63.11201(b), 63.11196(a)(1)</w:t>
      </w:r>
      <w:r w:rsidR="00273F08">
        <w:t>, and 63.11223(a)</w:t>
      </w:r>
      <w:r>
        <w:t xml:space="preserve">] </w:t>
      </w:r>
    </w:p>
    <w:p w:rsidR="00273F08" w:rsidRDefault="00273F08" w:rsidP="00273F08">
      <w:pPr>
        <w:pStyle w:val="ListParagraph"/>
        <w:tabs>
          <w:tab w:val="left" w:pos="1440"/>
        </w:tabs>
      </w:pPr>
    </w:p>
    <w:p w:rsidR="0017320E" w:rsidRDefault="0017320E" w:rsidP="0017320E">
      <w:pPr>
        <w:pStyle w:val="ListParagraph"/>
        <w:numPr>
          <w:ilvl w:val="0"/>
          <w:numId w:val="5"/>
        </w:numPr>
        <w:tabs>
          <w:tab w:val="left" w:pos="1440"/>
        </w:tabs>
      </w:pPr>
      <w:r>
        <w:t>In order to demonstrate continuous compliance, each tune-up shall be performed to meet the following criteria: [40 CFR 63.11223(b)]</w:t>
      </w:r>
    </w:p>
    <w:p w:rsidR="0017320E" w:rsidRDefault="0017320E" w:rsidP="0017320E">
      <w:pPr>
        <w:pStyle w:val="ListParagraph"/>
      </w:pPr>
    </w:p>
    <w:p w:rsidR="0017320E" w:rsidRDefault="0017320E" w:rsidP="0017320E">
      <w:pPr>
        <w:pStyle w:val="ListParagraph"/>
        <w:numPr>
          <w:ilvl w:val="2"/>
          <w:numId w:val="3"/>
        </w:numPr>
      </w:pPr>
      <w:r>
        <w:t>As applicable, inspect the burner</w:t>
      </w:r>
      <w:r w:rsidR="00890A64">
        <w:t>, and clean or replace any components of the burner as necessary (you may delay the burner inspection until the next scheduled unit shutdown, but you must inspect each burner at least once every 36 months).</w:t>
      </w:r>
    </w:p>
    <w:p w:rsidR="00890A64" w:rsidRDefault="00890A64" w:rsidP="00890A64">
      <w:pPr>
        <w:pStyle w:val="ListParagraph"/>
        <w:ind w:left="1080"/>
      </w:pPr>
    </w:p>
    <w:p w:rsidR="00890A64" w:rsidRDefault="00890A64" w:rsidP="0017320E">
      <w:pPr>
        <w:pStyle w:val="ListParagraph"/>
        <w:numPr>
          <w:ilvl w:val="2"/>
          <w:numId w:val="3"/>
        </w:numPr>
      </w:pPr>
      <w:r>
        <w:t>Inspect the flame pattern, as applicable, and adjust the burner as necessary to optimize the flame pattern.  The adjustment should be consistent with the manufacturer’s specifications, if available.</w:t>
      </w:r>
    </w:p>
    <w:p w:rsidR="00890A64" w:rsidRDefault="00890A64" w:rsidP="00890A64">
      <w:pPr>
        <w:pStyle w:val="ListParagraph"/>
      </w:pPr>
    </w:p>
    <w:p w:rsidR="00890A64" w:rsidRDefault="00890A64" w:rsidP="0017320E">
      <w:pPr>
        <w:pStyle w:val="ListParagraph"/>
        <w:numPr>
          <w:ilvl w:val="2"/>
          <w:numId w:val="3"/>
        </w:numPr>
      </w:pPr>
      <w:r>
        <w:t>Inspect the system controlling the air-to-fuel ratio, as applicable, and ensure that it is correctly calibrated and functioning proper</w:t>
      </w:r>
      <w:r w:rsidR="002642B9">
        <w:t>ly (you may delay the inspection until the next scheduled unit shutdown, not to exceed 36 months from the previous inspection).</w:t>
      </w:r>
    </w:p>
    <w:p w:rsidR="002642B9" w:rsidRDefault="002642B9" w:rsidP="002642B9">
      <w:pPr>
        <w:pStyle w:val="ListParagraph"/>
      </w:pPr>
    </w:p>
    <w:p w:rsidR="002642B9" w:rsidRDefault="002642B9" w:rsidP="0017320E">
      <w:pPr>
        <w:pStyle w:val="ListParagraph"/>
        <w:numPr>
          <w:ilvl w:val="2"/>
          <w:numId w:val="3"/>
        </w:numPr>
      </w:pPr>
      <w:r>
        <w:t>Optimize total emissions of carbon monoxide. This optimization should be consistent with the manufacturer’s specifications, if available, and with any nitrogen oxide requirement to which the unit is subject.</w:t>
      </w:r>
    </w:p>
    <w:p w:rsidR="002642B9" w:rsidRDefault="002642B9" w:rsidP="002642B9">
      <w:pPr>
        <w:pStyle w:val="ListParagraph"/>
      </w:pPr>
    </w:p>
    <w:p w:rsidR="002642B9" w:rsidRDefault="002642B9" w:rsidP="0017320E">
      <w:pPr>
        <w:pStyle w:val="ListParagraph"/>
        <w:numPr>
          <w:ilvl w:val="2"/>
          <w:numId w:val="3"/>
        </w:numPr>
      </w:pPr>
      <w:r>
        <w:t>Measure the concentrations in the effluent stream of carbon monoxide in parts per million, by volume, and oxygen in volume percent, before and after the adjustments are made</w:t>
      </w:r>
      <w:r w:rsidR="00732EC4">
        <w:t xml:space="preserve"> (measurements may be either on a dry or wet basis, as long as it is the same basis before and after the adjustments are made).  Measurements may be made using a portable carbon monoxide analyzer.</w:t>
      </w:r>
    </w:p>
    <w:p w:rsidR="00732EC4" w:rsidRDefault="00732EC4" w:rsidP="00732EC4">
      <w:pPr>
        <w:pStyle w:val="ListParagraph"/>
      </w:pPr>
    </w:p>
    <w:p w:rsidR="00732EC4" w:rsidRDefault="00732EC4" w:rsidP="0017320E">
      <w:pPr>
        <w:pStyle w:val="ListParagraph"/>
        <w:numPr>
          <w:ilvl w:val="2"/>
          <w:numId w:val="3"/>
        </w:numPr>
      </w:pPr>
      <w:r>
        <w:t>If the unit is not operating on the required date for a tune-up, the tune-up must be conducted within one week of startup.</w:t>
      </w:r>
    </w:p>
    <w:p w:rsidR="00665E3E" w:rsidRDefault="00665E3E" w:rsidP="00537EBB">
      <w:pPr>
        <w:ind w:left="720" w:hanging="360"/>
      </w:pPr>
    </w:p>
    <w:p w:rsidR="00537EBB" w:rsidRDefault="00732EC4" w:rsidP="00537EBB">
      <w:pPr>
        <w:ind w:left="720" w:hanging="360"/>
      </w:pPr>
      <w:r>
        <w:t>g</w:t>
      </w:r>
      <w:r w:rsidR="00537EBB" w:rsidRPr="006243B7">
        <w:t>.</w:t>
      </w:r>
      <w:r w:rsidR="00537EBB">
        <w:tab/>
        <w:t xml:space="preserve">At all times, including periods of startup, shutdown, and malfunction, the owner or operator shall, to the extent practicable, maintain and operate each boiler in a manner consistent with good air pollution control practice for minimizing emissions.  </w:t>
      </w:r>
      <w:r w:rsidR="00537EBB">
        <w:lastRenderedPageBreak/>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455569" w:rsidRDefault="001F561B" w:rsidP="00455569">
      <w:pPr>
        <w:tabs>
          <w:tab w:val="left" w:pos="-1440"/>
          <w:tab w:val="left" w:pos="1440"/>
        </w:tabs>
        <w:ind w:left="720" w:hanging="360"/>
      </w:pPr>
      <w:r w:rsidRPr="006243B7">
        <w:t>a.</w:t>
      </w:r>
      <w:r w:rsidRPr="006243B7">
        <w:tab/>
      </w:r>
      <w:r>
        <w:t>If performance tes</w:t>
      </w:r>
      <w:r w:rsidR="008A3475">
        <w:t>t</w:t>
      </w:r>
      <w:r w:rsidR="0061180D">
        <w:t xml:space="preserve">ing of any of these boilers is required in accordance with Condition </w:t>
      </w:r>
      <w:proofErr w:type="gramStart"/>
      <w:r w:rsidR="0061180D">
        <w:t>IV(</w:t>
      </w:r>
      <w:proofErr w:type="gramEnd"/>
      <w:r w:rsidR="0061180D">
        <w:t>b), the Permittee</w:t>
      </w:r>
      <w:r w:rsidR="00455569">
        <w:t xml:space="preserve"> shall conduct performance testing on the boilers</w:t>
      </w:r>
      <w:r w:rsidR="008A3475">
        <w:t xml:space="preserve"> to determine compliance with Condition II(a)</w:t>
      </w:r>
      <w:r w:rsidR="00455569">
        <w:t xml:space="preserve"> (except SO</w:t>
      </w:r>
      <w:r w:rsidR="00455569">
        <w:rPr>
          <w:vertAlign w:val="subscript"/>
        </w:rPr>
        <w:t>2</w:t>
      </w:r>
      <w:r w:rsidR="00455569">
        <w:t>)</w:t>
      </w:r>
      <w:r w:rsidR="008A3475">
        <w:t>, (b) and/or (c)</w:t>
      </w:r>
      <w:r w:rsidR="00455569">
        <w:t xml:space="preserve">  (or as otherwise directed by the Department) and shall furnish the Department with a written report of the results of such performance test in accordance with the following requirements [20 DCMR 502]:</w:t>
      </w:r>
    </w:p>
    <w:p w:rsidR="001F561B" w:rsidRDefault="001F561B" w:rsidP="001F561B">
      <w:pPr>
        <w:tabs>
          <w:tab w:val="left" w:pos="-1440"/>
          <w:tab w:val="left" w:pos="1440"/>
        </w:tabs>
        <w:ind w:left="720" w:hanging="360"/>
      </w:pPr>
    </w:p>
    <w:p w:rsidR="001F561B" w:rsidRDefault="001F561B" w:rsidP="001F561B">
      <w:pPr>
        <w:tabs>
          <w:tab w:val="left" w:pos="-1440"/>
          <w:tab w:val="left" w:pos="1440"/>
        </w:tabs>
        <w:ind w:left="1080" w:hanging="360"/>
      </w:pPr>
      <w:r>
        <w:t>1.</w:t>
      </w:r>
      <w:r>
        <w:tab/>
      </w:r>
      <w:r w:rsidRPr="00EF20BA">
        <w:t xml:space="preserve">One </w:t>
      </w:r>
      <w:r>
        <w:t xml:space="preserve">(1) </w:t>
      </w:r>
      <w:r w:rsidRPr="00EF20BA">
        <w:t>original test protocol shall be submitted to the following address a minimum of thirty (30) days in advance of the proposed test date. The test shall be conducted in accordance with Federal and District requirements.</w:t>
      </w:r>
    </w:p>
    <w:p w:rsidR="001F561B" w:rsidRDefault="001F561B" w:rsidP="001F561B">
      <w:pPr>
        <w:tabs>
          <w:tab w:val="left" w:pos="-1440"/>
          <w:tab w:val="left" w:pos="1800"/>
        </w:tabs>
        <w:ind w:left="1800" w:hanging="360"/>
      </w:pPr>
    </w:p>
    <w:p w:rsidR="001F561B" w:rsidRPr="00EF20BA" w:rsidRDefault="001F561B" w:rsidP="001F561B">
      <w:pPr>
        <w:tabs>
          <w:tab w:val="left" w:pos="-1440"/>
          <w:tab w:val="left" w:pos="-720"/>
        </w:tabs>
        <w:ind w:left="1080"/>
      </w:pPr>
      <w:r w:rsidRPr="00EF20BA">
        <w:t>Chief, Compliance and Enforcement Branch</w:t>
      </w:r>
    </w:p>
    <w:p w:rsidR="001F561B" w:rsidRDefault="001F561B" w:rsidP="001F561B">
      <w:pPr>
        <w:tabs>
          <w:tab w:val="left" w:pos="-1440"/>
          <w:tab w:val="left" w:pos="-720"/>
        </w:tabs>
        <w:ind w:left="1080"/>
      </w:pPr>
      <w:r>
        <w:t>Department of Energy and Environment</w:t>
      </w:r>
    </w:p>
    <w:p w:rsidR="001F561B" w:rsidRPr="00EF20BA" w:rsidRDefault="001F561B" w:rsidP="001F561B">
      <w:pPr>
        <w:tabs>
          <w:tab w:val="left" w:pos="-1440"/>
          <w:tab w:val="left" w:pos="-720"/>
        </w:tabs>
        <w:ind w:left="1080"/>
      </w:pPr>
      <w:r w:rsidRPr="00EF20BA">
        <w:t>Air Quality Division</w:t>
      </w:r>
    </w:p>
    <w:p w:rsidR="001F561B" w:rsidRPr="00EF20BA" w:rsidRDefault="001F561B" w:rsidP="001F561B">
      <w:pPr>
        <w:tabs>
          <w:tab w:val="left" w:pos="-1440"/>
          <w:tab w:val="left" w:pos="-720"/>
        </w:tabs>
        <w:ind w:left="1080"/>
      </w:pPr>
      <w:r w:rsidRPr="00EF20BA">
        <w:t>1200 First Street NE</w:t>
      </w:r>
      <w:r>
        <w:t xml:space="preserve">, </w:t>
      </w:r>
      <w:r w:rsidRPr="00EF20BA">
        <w:t>5</w:t>
      </w:r>
      <w:r w:rsidRPr="00EF20BA">
        <w:rPr>
          <w:vertAlign w:val="superscript"/>
        </w:rPr>
        <w:t>th</w:t>
      </w:r>
      <w:r w:rsidRPr="00EF20BA">
        <w:t xml:space="preserve"> Floor</w:t>
      </w:r>
    </w:p>
    <w:p w:rsidR="001F561B" w:rsidRPr="00EF20BA" w:rsidRDefault="001F561B" w:rsidP="001F561B">
      <w:pPr>
        <w:tabs>
          <w:tab w:val="left" w:pos="-1440"/>
          <w:tab w:val="left" w:pos="-720"/>
        </w:tabs>
        <w:ind w:left="1080"/>
      </w:pPr>
      <w:r w:rsidRPr="00EF20BA">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 xml:space="preserve">The test protocol </w:t>
      </w:r>
      <w:r w:rsidR="00B803F0">
        <w:t xml:space="preserve">and test date(s) </w:t>
      </w:r>
      <w:r>
        <w:t>shall be approved by the Department prior to initiating any testing</w:t>
      </w:r>
      <w:r w:rsidR="00B803F0">
        <w:t>.</w:t>
      </w:r>
      <w:r>
        <w:t xml:space="preserve">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lastRenderedPageBreak/>
        <w:t>C</w:t>
      </w:r>
      <w:r>
        <w:t>.</w:t>
      </w:r>
      <w:r>
        <w:tab/>
        <w:t>Summary of results with respect to the permit condition.</w:t>
      </w:r>
    </w:p>
    <w:p w:rsidR="00054D46" w:rsidRDefault="00054D46"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9704C9" w:rsidRDefault="009704C9" w:rsidP="00BE4EC3">
      <w:pPr>
        <w:tabs>
          <w:tab w:val="left" w:pos="-1440"/>
          <w:tab w:val="left" w:pos="1440"/>
        </w:tabs>
        <w:ind w:left="720" w:hanging="360"/>
      </w:pPr>
    </w:p>
    <w:p w:rsidR="00BE4EC3" w:rsidRDefault="00564065" w:rsidP="00BE4EC3">
      <w:pPr>
        <w:tabs>
          <w:tab w:val="left" w:pos="-1440"/>
          <w:tab w:val="left" w:pos="1440"/>
        </w:tabs>
        <w:ind w:left="720" w:hanging="360"/>
      </w:pPr>
      <w:r>
        <w:t>b</w:t>
      </w:r>
      <w:r w:rsidRPr="006243B7">
        <w:t>.</w:t>
      </w:r>
      <w:r w:rsidRPr="006243B7">
        <w:tab/>
      </w:r>
      <w:r w:rsidR="009704C9" w:rsidRPr="006243B7">
        <w:t xml:space="preserve">The </w:t>
      </w:r>
      <w:r w:rsidR="009704C9">
        <w:t>Permittee</w:t>
      </w:r>
      <w:r w:rsidR="009704C9" w:rsidRPr="006243B7">
        <w:t xml:space="preserve"> shall conduct and allow the Department access to conduct tests of air pollution emissions from any source as requested.  </w:t>
      </w:r>
      <w:r w:rsidR="009704C9">
        <w:t>[</w:t>
      </w:r>
      <w:r w:rsidR="009704C9" w:rsidRPr="006243B7">
        <w:t>20 DCMR 502.1</w:t>
      </w:r>
      <w:r w:rsidR="009704C9">
        <w:t>]</w:t>
      </w:r>
    </w:p>
    <w:p w:rsidR="00564065" w:rsidRDefault="00564065" w:rsidP="00564065">
      <w:pPr>
        <w:tabs>
          <w:tab w:val="left" w:pos="-1440"/>
          <w:tab w:val="left" w:pos="1440"/>
        </w:tabs>
        <w:ind w:left="720" w:hanging="360"/>
      </w:pPr>
    </w:p>
    <w:p w:rsidR="003C233D" w:rsidRDefault="00564065" w:rsidP="003C233D">
      <w:pPr>
        <w:tabs>
          <w:tab w:val="left" w:pos="-1440"/>
          <w:tab w:val="left" w:pos="1440"/>
        </w:tabs>
        <w:ind w:left="720" w:hanging="360"/>
      </w:pPr>
      <w:r>
        <w:t>c.</w:t>
      </w:r>
      <w:r>
        <w:tab/>
      </w:r>
      <w:r w:rsidR="00A8425C">
        <w:t>At least once per quarter when operating on natural gas and once per week when operating on No. 2 fuel oil,</w:t>
      </w:r>
      <w:r w:rsidR="009704C9">
        <w:t xml:space="preserve"> during operation of each boiler, the Permittee shall conduct visual observations of the emissions from each boiler. If no operations are occurring for a giv</w:t>
      </w:r>
      <w:r w:rsidR="00A8425C">
        <w:t>en boiler during a given week</w:t>
      </w:r>
      <w:r w:rsidR="009704C9">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r w:rsidR="00A8425C">
        <w:t xml:space="preserve"> and shall be performed while firing the same fuel as was in use when the visible emissions were observed</w:t>
      </w:r>
      <w:r w:rsidR="009704C9">
        <w:t>.</w:t>
      </w:r>
    </w:p>
    <w:p w:rsidR="00564065" w:rsidRDefault="00564065" w:rsidP="00564065">
      <w:pPr>
        <w:tabs>
          <w:tab w:val="left" w:pos="-1440"/>
          <w:tab w:val="left" w:pos="1440"/>
        </w:tabs>
        <w:ind w:left="1440" w:hanging="360"/>
      </w:pPr>
    </w:p>
    <w:p w:rsidR="009704C9" w:rsidRDefault="00564065" w:rsidP="009704C9">
      <w:pPr>
        <w:tabs>
          <w:tab w:val="left" w:pos="-1440"/>
          <w:tab w:val="left" w:pos="1440"/>
        </w:tabs>
        <w:ind w:left="720" w:hanging="360"/>
      </w:pPr>
      <w:r>
        <w:t>d.</w:t>
      </w:r>
      <w:r>
        <w:tab/>
      </w:r>
      <w:r w:rsidR="009704C9">
        <w:t>Regardless of whether or not emissions are observed pursuant to Condition IV(c) of this permit, the Permittee shall conduct a minimum of one visible emissions test of each boiler each year</w:t>
      </w:r>
      <w:r w:rsidR="006A52C2">
        <w:t xml:space="preserve"> for each fuel burned since the last visible emissions test required under this permit condition</w:t>
      </w:r>
      <w:r w:rsidR="009704C9">
        <w:t>.</w:t>
      </w:r>
      <w:r w:rsidR="006A52C2">
        <w:t xml:space="preserve"> If the only combustion of a given fuel burned since the last test </w:t>
      </w:r>
      <w:r w:rsidR="0097219D">
        <w:t xml:space="preserve">occurred </w:t>
      </w:r>
      <w:r w:rsidR="006A52C2">
        <w:t>during periodic testing required by this permit</w:t>
      </w:r>
      <w:r w:rsidR="0042395C">
        <w:t>,</w:t>
      </w:r>
      <w:r w:rsidR="009704C9">
        <w:t xml:space="preserve"> </w:t>
      </w:r>
      <w:r w:rsidR="0097219D">
        <w:t xml:space="preserve">no visible emission test for that fuel will be required under this condition. </w:t>
      </w:r>
      <w:r w:rsidR="009704C9">
        <w:t xml:space="preserve">Such a test program shall consist of a minimum of 30 minutes of opacity observations of </w:t>
      </w:r>
      <w:r w:rsidR="0097219D">
        <w:t xml:space="preserve">each </w:t>
      </w:r>
      <w:r w:rsidR="009704C9">
        <w:t xml:space="preserve">boiler </w:t>
      </w:r>
      <w:r w:rsidR="0097219D">
        <w:t xml:space="preserve">firing each fuel </w:t>
      </w:r>
      <w:r w:rsidR="009704C9">
        <w:t>and shall be performed by a person certified in accordance with EPA Reference Method 9 (40 CFR 60, Appendix A)</w:t>
      </w:r>
      <w:r w:rsidR="0097219D">
        <w:t xml:space="preserve"> [20 DCMR 502.1]</w:t>
      </w:r>
      <w:r w:rsidR="009704C9">
        <w:t xml:space="preserve">.  </w:t>
      </w:r>
    </w:p>
    <w:p w:rsidR="00067BE2" w:rsidRDefault="00067BE2" w:rsidP="009704C9">
      <w:pPr>
        <w:tabs>
          <w:tab w:val="left" w:pos="-1440"/>
          <w:tab w:val="left" w:pos="1440"/>
        </w:tabs>
        <w:ind w:left="720" w:hanging="360"/>
      </w:pPr>
    </w:p>
    <w:p w:rsidR="00067BE2" w:rsidRDefault="00067BE2" w:rsidP="009704C9">
      <w:pPr>
        <w:tabs>
          <w:tab w:val="left" w:pos="-1440"/>
          <w:tab w:val="left" w:pos="1440"/>
        </w:tabs>
        <w:ind w:left="720" w:hanging="360"/>
      </w:pPr>
      <w:r>
        <w:t>e.</w:t>
      </w:r>
      <w:r>
        <w:tab/>
        <w:t xml:space="preserve">The Permittee shall monitor and/or test fuel oil as necessary to show compliance with Conditions </w:t>
      </w:r>
      <w:proofErr w:type="gramStart"/>
      <w:r>
        <w:t>III(</w:t>
      </w:r>
      <w:proofErr w:type="gramEnd"/>
      <w:r>
        <w:t>b) and V(b) in accordance with appropriate ASTM methods. [20 DCMR 502.6]</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 xml:space="preserve">each test, monitoring, sample measurement, report, application, or other activity: [20 DCMR </w:t>
      </w:r>
      <w:r w:rsidR="00731447">
        <w:t xml:space="preserve">500.2 and </w:t>
      </w:r>
      <w:r w:rsidR="00F03133">
        <w:t>500.8</w:t>
      </w:r>
      <w:r w:rsidR="00E55CA2">
        <w:t xml:space="preserve"> and 40 CFR 63.10(b)</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lastRenderedPageBreak/>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rsidR="00E84BAF">
        <w:t xml:space="preserve"> </w:t>
      </w:r>
      <w:r w:rsidR="007011CB">
        <w:t>(</w:t>
      </w:r>
      <w:r w:rsidR="00B803F0">
        <w:t>b</w:t>
      </w:r>
      <w:r w:rsidR="007011CB">
        <w:t>)</w:t>
      </w:r>
      <w:r>
        <w:t xml:space="preserve"> of this permit</w:t>
      </w:r>
      <w:r w:rsidR="008D01B0">
        <w:t>;</w:t>
      </w:r>
    </w:p>
    <w:p w:rsidR="001E53BF" w:rsidRPr="00C420D7" w:rsidRDefault="001E53BF" w:rsidP="001E53BF">
      <w:pPr>
        <w:tabs>
          <w:tab w:val="left" w:pos="-1440"/>
          <w:tab w:val="left" w:pos="1440"/>
        </w:tabs>
        <w:ind w:left="720" w:hanging="360"/>
      </w:pPr>
    </w:p>
    <w:p w:rsidR="001E53BF" w:rsidRDefault="001E53BF" w:rsidP="001E53BF">
      <w:pPr>
        <w:tabs>
          <w:tab w:val="left" w:pos="-1440"/>
          <w:tab w:val="left" w:pos="1440"/>
        </w:tabs>
        <w:ind w:left="720" w:hanging="360"/>
      </w:pPr>
      <w:r w:rsidRPr="00C420D7">
        <w:t>b.</w:t>
      </w:r>
      <w:r w:rsidRPr="00C420D7">
        <w:tab/>
      </w:r>
      <w:r>
        <w:t xml:space="preserve">For each delivery of No. 2 fuel oil or diesel fuel, the </w:t>
      </w:r>
      <w:r w:rsidR="00067BE2">
        <w:t>Permittee</w:t>
      </w:r>
      <w:r>
        <w:t xml:space="preserve"> shall maintain one of the following:</w:t>
      </w:r>
    </w:p>
    <w:p w:rsidR="001E53BF" w:rsidRDefault="001E53BF" w:rsidP="001E53BF">
      <w:pPr>
        <w:tabs>
          <w:tab w:val="left" w:pos="-1440"/>
          <w:tab w:val="left" w:pos="1440"/>
        </w:tabs>
        <w:ind w:left="720" w:hanging="360"/>
      </w:pPr>
    </w:p>
    <w:p w:rsidR="001E53BF" w:rsidRDefault="001E53BF" w:rsidP="001E53BF">
      <w:pPr>
        <w:tabs>
          <w:tab w:val="left" w:pos="-1440"/>
          <w:tab w:val="left" w:pos="1080"/>
        </w:tabs>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 (a); or</w:t>
      </w:r>
    </w:p>
    <w:p w:rsidR="001E53BF" w:rsidRDefault="001E53BF" w:rsidP="001E53BF">
      <w:pPr>
        <w:tabs>
          <w:tab w:val="left" w:pos="-1440"/>
          <w:tab w:val="left" w:pos="1080"/>
        </w:tabs>
        <w:ind w:left="1080" w:hanging="360"/>
      </w:pPr>
    </w:p>
    <w:p w:rsidR="001E53BF" w:rsidRDefault="001E53BF" w:rsidP="001E53BF">
      <w:pPr>
        <w:tabs>
          <w:tab w:val="left" w:pos="-1440"/>
          <w:tab w:val="left" w:pos="1080"/>
        </w:tabs>
        <w:ind w:left="1080" w:hanging="360"/>
      </w:pPr>
      <w:r>
        <w:t>2.</w:t>
      </w:r>
      <w:r>
        <w:tab/>
        <w:t>A fuel delivery receipt and documentation of sampling and analysis containing the following information:</w:t>
      </w:r>
    </w:p>
    <w:p w:rsidR="001E53BF" w:rsidRDefault="001E53BF" w:rsidP="001E53BF">
      <w:pPr>
        <w:tabs>
          <w:tab w:val="left" w:pos="-1440"/>
          <w:tab w:val="left" w:pos="1080"/>
        </w:tabs>
        <w:ind w:left="1080" w:hanging="360"/>
      </w:pPr>
    </w:p>
    <w:p w:rsidR="001E53BF" w:rsidRDefault="001E53BF" w:rsidP="00067BE2">
      <w:pPr>
        <w:tabs>
          <w:tab w:val="left" w:pos="-1440"/>
          <w:tab w:val="left" w:pos="1440"/>
        </w:tabs>
        <w:ind w:left="1440" w:hanging="360"/>
      </w:pPr>
      <w:r>
        <w:t>A.</w:t>
      </w:r>
      <w:r>
        <w:tab/>
        <w:t>The fuel oil type;</w:t>
      </w:r>
    </w:p>
    <w:p w:rsidR="00067BE2" w:rsidRDefault="001E53BF" w:rsidP="00067BE2">
      <w:pPr>
        <w:tabs>
          <w:tab w:val="left" w:pos="-1440"/>
          <w:tab w:val="left" w:pos="1440"/>
        </w:tabs>
        <w:ind w:left="1440" w:hanging="360"/>
      </w:pPr>
      <w:r>
        <w:tab/>
      </w:r>
    </w:p>
    <w:p w:rsidR="001E53BF" w:rsidRDefault="001E53BF" w:rsidP="00067BE2">
      <w:pPr>
        <w:tabs>
          <w:tab w:val="left" w:pos="-1440"/>
          <w:tab w:val="left" w:pos="1440"/>
        </w:tabs>
        <w:ind w:left="1440" w:hanging="360"/>
      </w:pPr>
      <w:r>
        <w:t>B.</w:t>
      </w:r>
      <w:r>
        <w:tab/>
        <w:t>The concentration or weight percent of sulfur in the fuel;</w:t>
      </w:r>
    </w:p>
    <w:p w:rsidR="00067BE2" w:rsidRDefault="00067BE2" w:rsidP="00067BE2">
      <w:pPr>
        <w:tabs>
          <w:tab w:val="left" w:pos="-1440"/>
          <w:tab w:val="left" w:pos="1440"/>
        </w:tabs>
        <w:ind w:left="1440" w:hanging="360"/>
      </w:pPr>
    </w:p>
    <w:p w:rsidR="001E53BF" w:rsidRDefault="001E53BF" w:rsidP="00067BE2">
      <w:pPr>
        <w:tabs>
          <w:tab w:val="left" w:pos="-1440"/>
          <w:tab w:val="left" w:pos="1440"/>
        </w:tabs>
        <w:ind w:left="1440" w:hanging="360"/>
      </w:pPr>
      <w:r>
        <w:t>C.</w:t>
      </w:r>
      <w:r>
        <w:tab/>
        <w:t>The date and time the sample was taken;</w:t>
      </w:r>
    </w:p>
    <w:p w:rsidR="00067BE2" w:rsidRDefault="00067BE2" w:rsidP="00067BE2">
      <w:pPr>
        <w:tabs>
          <w:tab w:val="left" w:pos="-1440"/>
          <w:tab w:val="left" w:pos="1440"/>
        </w:tabs>
        <w:ind w:left="1440" w:hanging="360"/>
      </w:pPr>
    </w:p>
    <w:p w:rsidR="001E53BF" w:rsidRDefault="003D62B7" w:rsidP="00067BE2">
      <w:pPr>
        <w:tabs>
          <w:tab w:val="left" w:pos="-1440"/>
          <w:tab w:val="left" w:pos="1440"/>
        </w:tabs>
        <w:ind w:left="1440" w:hanging="360"/>
      </w:pPr>
      <w:r>
        <w:t>D.</w:t>
      </w:r>
      <w:r>
        <w:tab/>
      </w:r>
      <w:r w:rsidR="001E53BF">
        <w:t>The name, address, and telephone number of the laboratory that analyzed the</w:t>
      </w:r>
      <w:r w:rsidR="00067BE2">
        <w:t xml:space="preserve"> s</w:t>
      </w:r>
      <w:r>
        <w:t>ample; and</w:t>
      </w:r>
      <w:r w:rsidR="001E53BF">
        <w:t xml:space="preserve"> </w:t>
      </w:r>
      <w:r w:rsidR="003B44DF">
        <w:t xml:space="preserve">                       </w:t>
      </w:r>
    </w:p>
    <w:p w:rsidR="00067BE2" w:rsidRDefault="00067BE2" w:rsidP="001E53BF">
      <w:pPr>
        <w:tabs>
          <w:tab w:val="left" w:pos="-1440"/>
          <w:tab w:val="left" w:pos="1080"/>
        </w:tabs>
        <w:ind w:left="1080"/>
      </w:pPr>
    </w:p>
    <w:p w:rsidR="001E53BF" w:rsidRDefault="001E53BF" w:rsidP="001E53BF">
      <w:pPr>
        <w:tabs>
          <w:tab w:val="left" w:pos="-1440"/>
          <w:tab w:val="left" w:pos="1080"/>
        </w:tabs>
        <w:ind w:left="1080"/>
      </w:pPr>
      <w:r>
        <w:t>E.</w:t>
      </w:r>
      <w:r>
        <w:tab/>
        <w:t>The test method used to determine the sulfur content.</w:t>
      </w:r>
    </w:p>
    <w:p w:rsidR="003B44DF" w:rsidRDefault="003B44DF" w:rsidP="001E53BF">
      <w:pPr>
        <w:tabs>
          <w:tab w:val="left" w:pos="-1440"/>
          <w:tab w:val="left" w:pos="1440"/>
        </w:tabs>
        <w:ind w:left="720" w:hanging="360"/>
      </w:pPr>
    </w:p>
    <w:p w:rsidR="001E53BF" w:rsidRPr="00C420D7" w:rsidRDefault="003B44DF" w:rsidP="001E53BF">
      <w:pPr>
        <w:tabs>
          <w:tab w:val="left" w:pos="-1440"/>
          <w:tab w:val="left" w:pos="1440"/>
        </w:tabs>
        <w:ind w:left="720" w:hanging="360"/>
      </w:pPr>
      <w:r>
        <w:t>c</w:t>
      </w:r>
      <w:r w:rsidR="001E53BF" w:rsidRPr="00C420D7">
        <w:t>.</w:t>
      </w:r>
      <w:r w:rsidR="001E53BF" w:rsidRPr="00C420D7">
        <w:tab/>
        <w:t xml:space="preserve">The Permittee shall maintain records of the number of hours each boiler is operated using </w:t>
      </w:r>
      <w:r w:rsidR="00067BE2">
        <w:t>each</w:t>
      </w:r>
      <w:r w:rsidR="001E53BF">
        <w:t xml:space="preserve"> approved fuel </w:t>
      </w:r>
      <w:r w:rsidR="001E53BF" w:rsidRPr="00C420D7">
        <w:t xml:space="preserve">each month. These data shall be maintained in a rolling </w:t>
      </w:r>
      <w:r w:rsidR="00FA7656">
        <w:t>12-</w:t>
      </w:r>
      <w:r w:rsidR="001E53BF" w:rsidRPr="00C420D7">
        <w:t>month sum format. [20 DCMR 500.2]</w:t>
      </w:r>
    </w:p>
    <w:p w:rsidR="00E55CA2" w:rsidRDefault="00E55CA2" w:rsidP="0016428A">
      <w:pPr>
        <w:tabs>
          <w:tab w:val="left" w:pos="-1440"/>
          <w:tab w:val="left" w:pos="1440"/>
        </w:tabs>
        <w:ind w:left="720" w:hanging="450"/>
      </w:pPr>
    </w:p>
    <w:p w:rsidR="00FA7656" w:rsidRDefault="009B4108" w:rsidP="004E2D6A">
      <w:pPr>
        <w:ind w:left="720" w:hanging="720"/>
      </w:pPr>
      <w:r>
        <w:t xml:space="preserve">      </w:t>
      </w:r>
      <w:r w:rsidR="003D62B7">
        <w:t>d</w:t>
      </w:r>
      <w:r>
        <w:t xml:space="preserve">. </w:t>
      </w:r>
      <w:r>
        <w:tab/>
      </w:r>
      <w:r w:rsidR="00FA7656">
        <w:t>The Permittee shall maintain records of the amount of each fuel type used each month in the boilers. These data shall be maintained in a rolling 12-month sum format. [20 DCMR 500.2]</w:t>
      </w:r>
    </w:p>
    <w:p w:rsidR="00E55CA2" w:rsidRDefault="00E55CA2" w:rsidP="00564065">
      <w:pPr>
        <w:tabs>
          <w:tab w:val="left" w:pos="-1440"/>
          <w:tab w:val="left" w:pos="1440"/>
        </w:tabs>
        <w:ind w:left="720" w:hanging="360"/>
      </w:pPr>
    </w:p>
    <w:p w:rsidR="00564065" w:rsidRDefault="00F93351" w:rsidP="00564065">
      <w:pPr>
        <w:tabs>
          <w:tab w:val="left" w:pos="-1440"/>
          <w:tab w:val="left" w:pos="1440"/>
        </w:tabs>
        <w:ind w:left="720" w:hanging="360"/>
      </w:pPr>
      <w:r>
        <w:t>e</w:t>
      </w:r>
      <w:r w:rsidR="00564065">
        <w:t>.</w:t>
      </w:r>
      <w:r w:rsidR="00564065">
        <w:tab/>
        <w:t>The Permittee shall maintain records of all visible emissions monitoring perf</w:t>
      </w:r>
      <w:r w:rsidR="008D01B0">
        <w:t>ormed pursuant to Condition IV(c</w:t>
      </w:r>
      <w:r w:rsidR="00564065">
        <w:t xml:space="preserve">), including notes indicating when no observations were performed as a result of </w:t>
      </w:r>
      <w:proofErr w:type="gramStart"/>
      <w:r w:rsidR="00564065">
        <w:t>no</w:t>
      </w:r>
      <w:proofErr w:type="gramEnd"/>
      <w:r w:rsidR="00564065">
        <w:t xml:space="preserve"> operations of </w:t>
      </w:r>
      <w:r w:rsidR="004E2D6A">
        <w:t>a given</w:t>
      </w:r>
      <w:r w:rsidR="00564065">
        <w:t xml:space="preserve"> boiler </w:t>
      </w:r>
      <w:r w:rsidR="004E2D6A">
        <w:t xml:space="preserve">on a given fuel </w:t>
      </w:r>
      <w:r w:rsidR="00564065">
        <w:t xml:space="preserve">that </w:t>
      </w:r>
      <w:r w:rsidR="00B803F0">
        <w:t>quarter</w:t>
      </w:r>
      <w:r w:rsidR="004E2D6A">
        <w:t xml:space="preserve"> or week, as applicable.</w:t>
      </w:r>
      <w:r w:rsidR="00564065">
        <w:t xml:space="preserve"> These records shall be maintained in an organized fashion, shall include the identity of the person performing the monitoring, and shall be readily available</w:t>
      </w:r>
      <w:r w:rsidR="008D01B0">
        <w:t xml:space="preserve"> for inspection by the </w:t>
      </w:r>
      <w:r w:rsidR="00075F29">
        <w:t>Departmen</w:t>
      </w:r>
      <w:r w:rsidR="008D01B0">
        <w:t>t;</w:t>
      </w:r>
    </w:p>
    <w:p w:rsidR="00DE2E87" w:rsidRDefault="00DE2E87" w:rsidP="00564065">
      <w:pPr>
        <w:tabs>
          <w:tab w:val="left" w:pos="-1440"/>
          <w:tab w:val="left" w:pos="1440"/>
        </w:tabs>
        <w:ind w:left="720" w:hanging="360"/>
      </w:pPr>
    </w:p>
    <w:p w:rsidR="00564065" w:rsidRDefault="00AC02A5" w:rsidP="00564065">
      <w:pPr>
        <w:tabs>
          <w:tab w:val="left" w:pos="-1440"/>
          <w:tab w:val="left" w:pos="1440"/>
        </w:tabs>
        <w:ind w:left="720" w:hanging="360"/>
      </w:pPr>
      <w:r>
        <w:t>f</w:t>
      </w:r>
      <w:r w:rsidR="00564065">
        <w:t>.</w:t>
      </w:r>
      <w:r w:rsidR="00564065">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w:t>
      </w:r>
      <w:r w:rsidR="00564065">
        <w:lastRenderedPageBreak/>
        <w:t xml:space="preserve">certification. These records shall include documentation indicating whether the results show compliance with Condition </w:t>
      </w:r>
      <w:proofErr w:type="gramStart"/>
      <w:r w:rsidR="00564065">
        <w:t>II(</w:t>
      </w:r>
      <w:proofErr w:type="gramEnd"/>
      <w:r w:rsidR="00564065">
        <w:t>b)</w:t>
      </w:r>
      <w:r w:rsidR="008D01B0">
        <w:t>;</w:t>
      </w:r>
    </w:p>
    <w:p w:rsidR="00B12C2D" w:rsidRDefault="00B12C2D" w:rsidP="005D1377">
      <w:pPr>
        <w:tabs>
          <w:tab w:val="left" w:pos="1440"/>
        </w:tabs>
        <w:ind w:left="720" w:hanging="360"/>
      </w:pPr>
    </w:p>
    <w:p w:rsidR="005D1377" w:rsidRPr="00C420D7" w:rsidRDefault="00AC02A5" w:rsidP="005D1377">
      <w:pPr>
        <w:tabs>
          <w:tab w:val="left" w:pos="1440"/>
        </w:tabs>
        <w:ind w:left="720" w:hanging="360"/>
      </w:pPr>
      <w:r>
        <w:t>g</w:t>
      </w:r>
      <w:r w:rsidR="005D1377" w:rsidRPr="00C420D7">
        <w:t>.</w:t>
      </w:r>
      <w:r w:rsidR="005D1377" w:rsidRPr="00C420D7">
        <w:tab/>
      </w:r>
      <w:r w:rsidR="005D1377">
        <w:t xml:space="preserve">The Permittee shall </w:t>
      </w:r>
      <w:r w:rsidR="00067BE2">
        <w:t>m</w:t>
      </w:r>
      <w:r w:rsidR="005D1377" w:rsidRPr="00C420D7">
        <w:t xml:space="preserve">aintain onsite and submit, if requested by the EPA Administrator or the Department, a biennial report containing the information in paragraphs </w:t>
      </w:r>
      <w:proofErr w:type="gramStart"/>
      <w:r w:rsidR="005D1377" w:rsidRPr="00C420D7">
        <w:t>V(</w:t>
      </w:r>
      <w:proofErr w:type="gramEnd"/>
      <w:r>
        <w:t>g</w:t>
      </w:r>
      <w:r w:rsidR="005D1377" w:rsidRPr="00C420D7">
        <w:t>)(1) through (3) of this section.</w:t>
      </w:r>
    </w:p>
    <w:p w:rsidR="005D1377" w:rsidRPr="00C420D7" w:rsidRDefault="005D1377" w:rsidP="005D1377">
      <w:pPr>
        <w:tabs>
          <w:tab w:val="left" w:pos="1800"/>
        </w:tabs>
        <w:ind w:left="900" w:hanging="540"/>
      </w:pPr>
    </w:p>
    <w:p w:rsidR="005D1377" w:rsidRPr="00C420D7" w:rsidRDefault="005D1377" w:rsidP="005D1377">
      <w:pPr>
        <w:tabs>
          <w:tab w:val="left" w:pos="1800"/>
        </w:tabs>
        <w:ind w:left="1080" w:hanging="360"/>
      </w:pPr>
      <w:r w:rsidRPr="00C420D7">
        <w:t>1.</w:t>
      </w:r>
      <w:r w:rsidRPr="00C420D7">
        <w:tab/>
        <w:t>The concentrations of CO in the effluent stream in parts per million, by volume, and oxygen in volume percent, measured before and after the tune-up of the boiler.</w:t>
      </w:r>
    </w:p>
    <w:p w:rsidR="005D1377" w:rsidRPr="00C420D7" w:rsidRDefault="005D1377" w:rsidP="005D1377">
      <w:pPr>
        <w:tabs>
          <w:tab w:val="left" w:pos="1800"/>
        </w:tabs>
        <w:ind w:left="1080" w:hanging="360"/>
      </w:pPr>
    </w:p>
    <w:p w:rsidR="005D1377" w:rsidRPr="00C420D7" w:rsidRDefault="005D1377" w:rsidP="005D1377">
      <w:pPr>
        <w:tabs>
          <w:tab w:val="left" w:pos="1800"/>
        </w:tabs>
        <w:ind w:left="1080" w:hanging="360"/>
      </w:pPr>
      <w:r w:rsidRPr="00C420D7">
        <w:t>2.</w:t>
      </w:r>
      <w:r w:rsidRPr="00C420D7">
        <w:tab/>
        <w:t>A description of any corrective actions taken as a part of the tune-up of the boiler.</w:t>
      </w:r>
    </w:p>
    <w:p w:rsidR="005D1377" w:rsidRPr="00C420D7" w:rsidRDefault="005D1377" w:rsidP="005D1377">
      <w:pPr>
        <w:tabs>
          <w:tab w:val="left" w:pos="1800"/>
        </w:tabs>
        <w:ind w:left="1080" w:hanging="360"/>
      </w:pPr>
    </w:p>
    <w:p w:rsidR="005D1377" w:rsidRPr="00C420D7" w:rsidRDefault="005D1377" w:rsidP="005D1377">
      <w:pPr>
        <w:tabs>
          <w:tab w:val="left" w:pos="1800"/>
        </w:tabs>
        <w:ind w:left="1080" w:hanging="360"/>
      </w:pPr>
      <w:r w:rsidRPr="00C420D7">
        <w:t>3.</w:t>
      </w:r>
      <w:r w:rsidRPr="00C420D7">
        <w:tab/>
        <w:t>The type and amount of fuel used over the 12 months prior to the biennial tune-up of the boiler.</w:t>
      </w:r>
      <w:r w:rsidR="001D4D22">
        <w:t xml:space="preserve">  </w:t>
      </w:r>
    </w:p>
    <w:p w:rsidR="005D1377" w:rsidRDefault="005D1377" w:rsidP="00731447">
      <w:pPr>
        <w:pStyle w:val="ListParagraph"/>
        <w:tabs>
          <w:tab w:val="left" w:pos="-1440"/>
          <w:tab w:val="left" w:pos="1440"/>
        </w:tabs>
      </w:pPr>
    </w:p>
    <w:p w:rsidR="00921DA7" w:rsidRPr="00D30D92" w:rsidRDefault="00AC4536" w:rsidP="00921DA7">
      <w:pPr>
        <w:tabs>
          <w:tab w:val="left" w:pos="-1440"/>
          <w:tab w:val="left" w:pos="1440"/>
        </w:tabs>
        <w:ind w:left="720" w:hanging="360"/>
        <w:rPr>
          <w:i/>
        </w:rPr>
      </w:pPr>
      <w:r>
        <w:t>h</w:t>
      </w:r>
      <w:r w:rsidR="00921DA7">
        <w:t>.</w:t>
      </w:r>
      <w:r w:rsidR="00921DA7">
        <w:tab/>
        <w:t>If not already completed at the time of issuance of this permit, the Permittee shall immediately submit an “Initial Notification of Applicability” to the EPA Administrator with</w:t>
      </w:r>
      <w:r w:rsidR="00D84424">
        <w:t xml:space="preserve"> respect to the applicability of 40 CFR 63, Subpart JJJJJJ, National Emission Standards for Hazardous Air Pollutants for Industrial, Commercial, and Institutional Boilers</w:t>
      </w:r>
      <w:r w:rsidR="009C48E2">
        <w:t xml:space="preserve"> Area Sources as required by 40 CFR 63.11225(a</w:t>
      </w:r>
      <w:proofErr w:type="gramStart"/>
      <w:r w:rsidR="009C48E2">
        <w:t>)(</w:t>
      </w:r>
      <w:proofErr w:type="gramEnd"/>
      <w:r w:rsidR="009C48E2">
        <w:t>4)</w:t>
      </w:r>
      <w:r w:rsidR="00D30D92">
        <w:t xml:space="preserve">.  </w:t>
      </w:r>
      <w:r w:rsidR="00D30D92" w:rsidRPr="00D30D92">
        <w:rPr>
          <w:i/>
        </w:rPr>
        <w:t>Note that the deadline established by the rule for this submittal is January 20, 2014.</w:t>
      </w:r>
    </w:p>
    <w:p w:rsidR="00731447" w:rsidRDefault="00731447" w:rsidP="00731447">
      <w:pPr>
        <w:tabs>
          <w:tab w:val="left" w:pos="-1440"/>
          <w:tab w:val="left" w:pos="1440"/>
        </w:tabs>
        <w:ind w:left="720" w:hanging="360"/>
      </w:pPr>
    </w:p>
    <w:p w:rsidR="00731447" w:rsidRDefault="00261894" w:rsidP="004C6C8C">
      <w:pPr>
        <w:tabs>
          <w:tab w:val="left" w:pos="-1440"/>
          <w:tab w:val="left" w:pos="1440"/>
        </w:tabs>
        <w:ind w:left="720" w:hanging="360"/>
      </w:pPr>
      <w:r>
        <w:t>i</w:t>
      </w:r>
      <w:r w:rsidR="00731447">
        <w:t>.</w:t>
      </w:r>
      <w:r w:rsidR="00731447">
        <w:tab/>
      </w:r>
      <w:r w:rsidR="004C6C8C">
        <w:t>The Permittee shall p</w:t>
      </w:r>
      <w:r w:rsidR="00067BE2">
        <w:t>repare</w:t>
      </w:r>
      <w:r w:rsidR="004C6C8C">
        <w:t>,</w:t>
      </w:r>
      <w:r w:rsidR="00067BE2">
        <w:t xml:space="preserve"> by March 1</w:t>
      </w:r>
      <w:r w:rsidR="004C6C8C">
        <w:t xml:space="preserve"> of each year that follows the year of the biennial tune-up required by Condition III(e), a biennial compliance certification report for the previous two-calendar year period, that contains the information specified in Conditions V(i)(1) through (3) below. The Permittee shall submit the report to the Department and/or the EPA Administrator upon request </w:t>
      </w:r>
      <w:r w:rsidR="004C6C8C">
        <w:rPr>
          <w:u w:val="single"/>
        </w:rPr>
        <w:t>and</w:t>
      </w:r>
      <w:r w:rsidR="004C6C8C">
        <w:t xml:space="preserve"> by March 15 of every reporting year if the source experienced any instances described in Condition V(i)(3) during the two-year reporting period.</w:t>
      </w:r>
      <w:r w:rsidR="00F57665">
        <w:t xml:space="preserve"> [40 CFR 63.11225(b)]:</w:t>
      </w:r>
    </w:p>
    <w:p w:rsidR="00F57665" w:rsidRDefault="00F57665" w:rsidP="00D46983">
      <w:pPr>
        <w:tabs>
          <w:tab w:val="left" w:pos="-1440"/>
          <w:tab w:val="left" w:pos="1440"/>
        </w:tabs>
        <w:ind w:left="720" w:hanging="360"/>
      </w:pPr>
    </w:p>
    <w:p w:rsidR="00F57665" w:rsidRDefault="00F57665" w:rsidP="00DC4653">
      <w:pPr>
        <w:pStyle w:val="ListParagraph"/>
        <w:numPr>
          <w:ilvl w:val="6"/>
          <w:numId w:val="3"/>
        </w:numPr>
        <w:tabs>
          <w:tab w:val="left" w:pos="-1440"/>
          <w:tab w:val="left" w:pos="1080"/>
        </w:tabs>
        <w:ind w:hanging="1800"/>
      </w:pPr>
      <w:r>
        <w:t>Company name and address;</w:t>
      </w:r>
    </w:p>
    <w:p w:rsidR="00DC4653" w:rsidRDefault="00DC4653" w:rsidP="00DC4653">
      <w:pPr>
        <w:pStyle w:val="ListParagraph"/>
        <w:tabs>
          <w:tab w:val="left" w:pos="-1440"/>
          <w:tab w:val="left" w:pos="1440"/>
        </w:tabs>
        <w:ind w:left="2520"/>
      </w:pPr>
    </w:p>
    <w:p w:rsidR="00F57665" w:rsidRDefault="00F57665" w:rsidP="00DC4653">
      <w:pPr>
        <w:pStyle w:val="ListParagraph"/>
        <w:numPr>
          <w:ilvl w:val="6"/>
          <w:numId w:val="3"/>
        </w:numPr>
        <w:tabs>
          <w:tab w:val="clear" w:pos="2520"/>
          <w:tab w:val="left" w:pos="-1440"/>
          <w:tab w:val="left" w:pos="1080"/>
          <w:tab w:val="num" w:pos="2610"/>
        </w:tabs>
        <w:ind w:left="1080"/>
      </w:pPr>
      <w:r>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w:t>
      </w:r>
      <w:r w:rsidR="00E542E6">
        <w:t xml:space="preserve">40 CFR 63, </w:t>
      </w:r>
      <w:r>
        <w:t>Subpart JJJJJJ</w:t>
      </w:r>
      <w:r w:rsidR="00DC4653">
        <w:t>.</w:t>
      </w:r>
    </w:p>
    <w:p w:rsidR="00E542E6" w:rsidRDefault="00E542E6" w:rsidP="00E542E6">
      <w:pPr>
        <w:pStyle w:val="ListParagraph"/>
      </w:pPr>
    </w:p>
    <w:p w:rsidR="00E542E6" w:rsidRDefault="00E542E6" w:rsidP="00DC4653">
      <w:pPr>
        <w:pStyle w:val="ListParagraph"/>
        <w:numPr>
          <w:ilvl w:val="6"/>
          <w:numId w:val="3"/>
        </w:numPr>
        <w:tabs>
          <w:tab w:val="clear" w:pos="2520"/>
          <w:tab w:val="left" w:pos="-1440"/>
          <w:tab w:val="left" w:pos="1080"/>
          <w:tab w:val="num" w:pos="2610"/>
        </w:tabs>
        <w:ind w:left="1080"/>
      </w:pPr>
      <w:r>
        <w:t>If the source experiences any deviations from the applicable requirements during the reporting period, include a description of deviations, the time periods during which the deviations occurred, and the corrective actions taken.</w:t>
      </w:r>
    </w:p>
    <w:p w:rsidR="00E542E6" w:rsidRDefault="00E542E6" w:rsidP="00E542E6">
      <w:pPr>
        <w:pStyle w:val="ListParagraph"/>
      </w:pPr>
    </w:p>
    <w:p w:rsidR="00731447" w:rsidRDefault="00261894" w:rsidP="00731447">
      <w:pPr>
        <w:tabs>
          <w:tab w:val="left" w:pos="-1440"/>
          <w:tab w:val="left" w:pos="1440"/>
        </w:tabs>
        <w:ind w:left="720" w:hanging="360"/>
      </w:pPr>
      <w:r>
        <w:t>j</w:t>
      </w:r>
      <w:r w:rsidR="00731447">
        <w:t>.</w:t>
      </w:r>
      <w:r w:rsidR="00731447">
        <w:tab/>
      </w:r>
      <w:r w:rsidR="00E542E6">
        <w:t xml:space="preserve">The Permittee must keep a copy of each notification and report that was </w:t>
      </w:r>
      <w:r w:rsidR="004C6C8C">
        <w:t xml:space="preserve">prepared and/or </w:t>
      </w:r>
      <w:r w:rsidR="00E542E6">
        <w:t xml:space="preserve">submitted to comply with 40 CFR 63, Subpart JJJJJJ and this section and all </w:t>
      </w:r>
      <w:r w:rsidR="00E542E6">
        <w:lastRenderedPageBreak/>
        <w:t>documentation supporting any Initial Notification or Notification of Compliance Status that was submitted. [40 CFR 63.11225(c</w:t>
      </w:r>
      <w:proofErr w:type="gramStart"/>
      <w:r w:rsidR="00E542E6">
        <w:t>)(</w:t>
      </w:r>
      <w:proofErr w:type="gramEnd"/>
      <w:r w:rsidR="00E542E6">
        <w:t>1)</w:t>
      </w:r>
      <w:r w:rsidR="004C6C8C">
        <w:t xml:space="preserve"> and 20 DCMR 500.1</w:t>
      </w:r>
      <w:r w:rsidR="00E542E6">
        <w:t>]</w:t>
      </w:r>
    </w:p>
    <w:p w:rsidR="00E542E6" w:rsidRDefault="00E542E6" w:rsidP="00731447">
      <w:pPr>
        <w:tabs>
          <w:tab w:val="left" w:pos="-1440"/>
          <w:tab w:val="left" w:pos="1440"/>
        </w:tabs>
        <w:ind w:left="720" w:hanging="360"/>
      </w:pPr>
    </w:p>
    <w:p w:rsidR="00E542E6" w:rsidRDefault="00261894" w:rsidP="00E542E6">
      <w:pPr>
        <w:tabs>
          <w:tab w:val="left" w:pos="-1440"/>
          <w:tab w:val="left" w:pos="1440"/>
        </w:tabs>
        <w:ind w:left="720" w:hanging="360"/>
      </w:pPr>
      <w:r>
        <w:t>k</w:t>
      </w:r>
      <w:r w:rsidR="00E542E6">
        <w:t>.</w:t>
      </w:r>
      <w:r w:rsidR="00E542E6">
        <w:tab/>
        <w:t xml:space="preserve">The Permittee must keep </w:t>
      </w:r>
      <w:r w:rsidR="00B57208">
        <w:t>records identifying each boiler, the date of tune-up, the procedures followed for tune-up, and the manufacturer’s specifications to which the boiler was tuned to document compliance with the requirements of Condition III(e) and (f)</w:t>
      </w:r>
      <w:r w:rsidR="00E542E6">
        <w:t>. [40 CFR 63.11225(c</w:t>
      </w:r>
      <w:proofErr w:type="gramStart"/>
      <w:r w:rsidR="00E542E6">
        <w:t>)(</w:t>
      </w:r>
      <w:proofErr w:type="gramEnd"/>
      <w:r w:rsidR="00B57208">
        <w:t>2</w:t>
      </w:r>
      <w:r w:rsidR="00E542E6">
        <w:t>)]</w:t>
      </w:r>
    </w:p>
    <w:p w:rsidR="00E542E6" w:rsidRDefault="00E542E6" w:rsidP="00731447">
      <w:pPr>
        <w:tabs>
          <w:tab w:val="left" w:pos="-1440"/>
          <w:tab w:val="left" w:pos="1440"/>
        </w:tabs>
        <w:ind w:left="720" w:hanging="360"/>
      </w:pPr>
    </w:p>
    <w:p w:rsidR="00E542E6" w:rsidRDefault="007B12E0" w:rsidP="00E542E6">
      <w:pPr>
        <w:tabs>
          <w:tab w:val="left" w:pos="-1440"/>
          <w:tab w:val="left" w:pos="1440"/>
        </w:tabs>
        <w:ind w:left="720" w:hanging="360"/>
      </w:pPr>
      <w:r>
        <w:t>l</w:t>
      </w:r>
      <w:r w:rsidR="00E542E6">
        <w:t>.</w:t>
      </w:r>
      <w:r w:rsidR="00E542E6">
        <w:tab/>
        <w:t xml:space="preserve">The Permittee must keep </w:t>
      </w:r>
      <w:r w:rsidR="001910E0">
        <w:t>records of occurrence and duration of each malfunction of each boiler, or of any associated air pollution control and monitoring equipment</w:t>
      </w:r>
      <w:r w:rsidR="00E542E6">
        <w:t>. [40 CFR 63.11225(c</w:t>
      </w:r>
      <w:proofErr w:type="gramStart"/>
      <w:r w:rsidR="00E542E6">
        <w:t>)(</w:t>
      </w:r>
      <w:proofErr w:type="gramEnd"/>
      <w:r w:rsidR="001910E0">
        <w:t>4</w:t>
      </w:r>
      <w:r w:rsidR="00E542E6">
        <w:t>)]</w:t>
      </w:r>
    </w:p>
    <w:p w:rsidR="00E542E6" w:rsidRDefault="00E542E6" w:rsidP="00731447">
      <w:pPr>
        <w:tabs>
          <w:tab w:val="left" w:pos="-1440"/>
          <w:tab w:val="left" w:pos="1440"/>
        </w:tabs>
        <w:ind w:left="720" w:hanging="360"/>
      </w:pPr>
    </w:p>
    <w:p w:rsidR="00E542E6" w:rsidRDefault="007B12E0" w:rsidP="00E542E6">
      <w:pPr>
        <w:tabs>
          <w:tab w:val="left" w:pos="-1440"/>
          <w:tab w:val="left" w:pos="1440"/>
        </w:tabs>
        <w:ind w:left="720" w:hanging="360"/>
      </w:pPr>
      <w:r>
        <w:t>m</w:t>
      </w:r>
      <w:r w:rsidR="00E542E6">
        <w:t>.</w:t>
      </w:r>
      <w:r w:rsidR="00E542E6">
        <w:tab/>
        <w:t xml:space="preserve">The Permittee must keep </w:t>
      </w:r>
      <w:r w:rsidR="001910E0">
        <w:t>records of all actions taken during periods of malfunction to minimize emissions in accordance with the general duty to minimize emissions in 40 CFR 63.11225(a), including corrective actions to restore the malfunctioning boiler, air pollution control, or monitoring equipment to its normal or usual manner of operation</w:t>
      </w:r>
      <w:r w:rsidR="00E542E6">
        <w:t>. [40 CFR 63.11225(c</w:t>
      </w:r>
      <w:proofErr w:type="gramStart"/>
      <w:r w:rsidR="00E542E6">
        <w:t>)(</w:t>
      </w:r>
      <w:proofErr w:type="gramEnd"/>
      <w:r w:rsidR="00F2687F">
        <w:t>5</w:t>
      </w:r>
      <w:r w:rsidR="00E542E6">
        <w:t>)]</w:t>
      </w:r>
    </w:p>
    <w:p w:rsidR="004C6C8C" w:rsidRDefault="004C6C8C" w:rsidP="00E542E6">
      <w:pPr>
        <w:tabs>
          <w:tab w:val="left" w:pos="-1440"/>
          <w:tab w:val="left" w:pos="1440"/>
        </w:tabs>
        <w:ind w:left="720" w:hanging="360"/>
      </w:pPr>
    </w:p>
    <w:p w:rsidR="004C6C8C" w:rsidRDefault="004C6C8C" w:rsidP="00E542E6">
      <w:pPr>
        <w:tabs>
          <w:tab w:val="left" w:pos="-1440"/>
          <w:tab w:val="left" w:pos="1440"/>
        </w:tabs>
        <w:ind w:left="720" w:hanging="360"/>
      </w:pPr>
      <w:r>
        <w:t>n.</w:t>
      </w:r>
      <w:r>
        <w:tab/>
        <w:t>Reports shall be submitted to the following addresses for the Department and the EPA Administrator, as applicable in the specific reporting requirement permit condition:</w:t>
      </w:r>
    </w:p>
    <w:p w:rsidR="004C6C8C" w:rsidRDefault="004C6C8C" w:rsidP="00E542E6">
      <w:pPr>
        <w:tabs>
          <w:tab w:val="left" w:pos="-1440"/>
          <w:tab w:val="left" w:pos="1440"/>
        </w:tabs>
        <w:ind w:left="720" w:hanging="360"/>
      </w:pPr>
    </w:p>
    <w:p w:rsidR="004C6C8C" w:rsidRDefault="004C6C8C" w:rsidP="004C6C8C">
      <w:pPr>
        <w:tabs>
          <w:tab w:val="left" w:pos="-1440"/>
          <w:tab w:val="left" w:pos="1440"/>
        </w:tabs>
        <w:ind w:left="720"/>
      </w:pPr>
      <w:r>
        <w:t>EPA Region III</w:t>
      </w:r>
    </w:p>
    <w:p w:rsidR="004C6C8C" w:rsidRDefault="004C6C8C" w:rsidP="004C6C8C">
      <w:pPr>
        <w:tabs>
          <w:tab w:val="left" w:pos="-1440"/>
          <w:tab w:val="left" w:pos="1440"/>
        </w:tabs>
        <w:ind w:left="720"/>
      </w:pPr>
      <w:r>
        <w:t>Director, Air Protection Division</w:t>
      </w:r>
    </w:p>
    <w:p w:rsidR="004C6C8C" w:rsidRDefault="004C6C8C" w:rsidP="004C6C8C">
      <w:pPr>
        <w:tabs>
          <w:tab w:val="left" w:pos="-1440"/>
          <w:tab w:val="left" w:pos="1440"/>
        </w:tabs>
        <w:ind w:left="720"/>
      </w:pPr>
      <w:r>
        <w:t>1650 Arch Street</w:t>
      </w:r>
    </w:p>
    <w:p w:rsidR="004C6C8C" w:rsidRDefault="004C6C8C" w:rsidP="004C6C8C">
      <w:pPr>
        <w:tabs>
          <w:tab w:val="left" w:pos="-1440"/>
          <w:tab w:val="left" w:pos="1440"/>
        </w:tabs>
        <w:ind w:left="720"/>
      </w:pPr>
      <w:r>
        <w:t>Philadelphia PA 19103</w:t>
      </w:r>
    </w:p>
    <w:p w:rsidR="004C6C8C" w:rsidRDefault="004C6C8C" w:rsidP="004C6C8C">
      <w:pPr>
        <w:tabs>
          <w:tab w:val="left" w:pos="-1440"/>
          <w:tab w:val="left" w:pos="1440"/>
        </w:tabs>
        <w:ind w:left="720"/>
      </w:pPr>
    </w:p>
    <w:p w:rsidR="004C6C8C" w:rsidRDefault="004C6C8C" w:rsidP="004C6C8C">
      <w:pPr>
        <w:tabs>
          <w:tab w:val="left" w:pos="-1440"/>
          <w:tab w:val="left" w:pos="1440"/>
        </w:tabs>
        <w:ind w:left="720"/>
      </w:pPr>
      <w:proofErr w:type="gramStart"/>
      <w:r>
        <w:t>and</w:t>
      </w:r>
      <w:proofErr w:type="gramEnd"/>
    </w:p>
    <w:p w:rsidR="004C6C8C" w:rsidRDefault="004C6C8C" w:rsidP="004C6C8C">
      <w:pPr>
        <w:tabs>
          <w:tab w:val="left" w:pos="-1440"/>
          <w:tab w:val="left" w:pos="1440"/>
        </w:tabs>
        <w:ind w:left="720"/>
      </w:pPr>
    </w:p>
    <w:p w:rsidR="004C6C8C" w:rsidRDefault="004C6C8C" w:rsidP="004C6C8C">
      <w:pPr>
        <w:tabs>
          <w:tab w:val="left" w:pos="-1440"/>
          <w:tab w:val="left" w:pos="1440"/>
        </w:tabs>
        <w:ind w:left="720"/>
      </w:pPr>
      <w:r>
        <w:t>Chief, Compliance and Enforcement Branch</w:t>
      </w:r>
    </w:p>
    <w:p w:rsidR="004C6C8C" w:rsidRDefault="004C6C8C" w:rsidP="004C6C8C">
      <w:pPr>
        <w:tabs>
          <w:tab w:val="left" w:pos="-1440"/>
          <w:tab w:val="left" w:pos="1440"/>
        </w:tabs>
        <w:ind w:left="720"/>
      </w:pPr>
      <w:r>
        <w:t>Air Quality Division</w:t>
      </w:r>
    </w:p>
    <w:p w:rsidR="004C6C8C" w:rsidRDefault="004C6C8C" w:rsidP="004C6C8C">
      <w:pPr>
        <w:tabs>
          <w:tab w:val="left" w:pos="-1440"/>
          <w:tab w:val="left" w:pos="1440"/>
        </w:tabs>
        <w:ind w:left="720"/>
      </w:pPr>
      <w:r>
        <w:t>Department of Energy and Environment</w:t>
      </w:r>
    </w:p>
    <w:p w:rsidR="004C6C8C" w:rsidRDefault="004C6C8C" w:rsidP="004C6C8C">
      <w:pPr>
        <w:tabs>
          <w:tab w:val="left" w:pos="-1440"/>
          <w:tab w:val="left" w:pos="1440"/>
        </w:tabs>
        <w:ind w:left="720"/>
      </w:pPr>
      <w:r>
        <w:t>1200 First Street NE, 5th Floor</w:t>
      </w:r>
    </w:p>
    <w:p w:rsidR="00E542E6" w:rsidRDefault="004C6C8C" w:rsidP="004C6C8C">
      <w:pPr>
        <w:tabs>
          <w:tab w:val="left" w:pos="-1440"/>
          <w:tab w:val="left" w:pos="1440"/>
        </w:tabs>
        <w:ind w:left="720"/>
      </w:pPr>
      <w:r>
        <w:t>Washington DC 20002</w:t>
      </w:r>
    </w:p>
    <w:p w:rsidR="0066238A" w:rsidRDefault="0066238A" w:rsidP="00564065"/>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48" w:rsidRDefault="00AF0648">
      <w:r>
        <w:separator/>
      </w:r>
    </w:p>
  </w:endnote>
  <w:endnote w:type="continuationSeparator" w:id="0">
    <w:p w:rsidR="00AF0648" w:rsidRDefault="00AF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48" w:rsidRDefault="00AF0648">
      <w:r>
        <w:separator/>
      </w:r>
    </w:p>
  </w:footnote>
  <w:footnote w:type="continuationSeparator" w:id="0">
    <w:p w:rsidR="00AF0648" w:rsidRDefault="00AF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28" w:rsidRDefault="00611164" w:rsidP="00DC1B14">
    <w:pPr>
      <w:pStyle w:val="Header"/>
      <w:rPr>
        <w:b/>
      </w:rPr>
    </w:pPr>
    <w:r>
      <w:rPr>
        <w:b/>
      </w:rPr>
      <w:t>U.S. Army Corps of Engineers, Baltimore District</w:t>
    </w:r>
  </w:p>
  <w:p w:rsidR="00DC1B14" w:rsidRPr="0008644E" w:rsidRDefault="00067BE2" w:rsidP="00DC1B14">
    <w:pPr>
      <w:pStyle w:val="Header"/>
      <w:rPr>
        <w:b/>
      </w:rPr>
    </w:pPr>
    <w:r>
      <w:rPr>
        <w:b/>
      </w:rPr>
      <w:t xml:space="preserve">Washington Aqueduct, </w:t>
    </w:r>
    <w:proofErr w:type="spellStart"/>
    <w:r w:rsidR="00611164">
      <w:rPr>
        <w:b/>
      </w:rPr>
      <w:t>Dalecarlia</w:t>
    </w:r>
    <w:proofErr w:type="spellEnd"/>
    <w:r w:rsidR="00611164">
      <w:rPr>
        <w:b/>
      </w:rPr>
      <w:t xml:space="preserve"> W</w:t>
    </w:r>
    <w:r>
      <w:rPr>
        <w:b/>
      </w:rPr>
      <w:t>ater Treatment Plant</w:t>
    </w:r>
    <w:r w:rsidR="00611164">
      <w:rPr>
        <w:b/>
      </w:rPr>
      <w:t xml:space="preserve"> Boilers</w:t>
    </w:r>
  </w:p>
  <w:p w:rsidR="00DC1B14" w:rsidRPr="001A1259" w:rsidRDefault="00DC1B14" w:rsidP="009B0281">
    <w:pPr>
      <w:pStyle w:val="Header"/>
      <w:ind w:left="360" w:hanging="360"/>
      <w:rPr>
        <w:b/>
      </w:rPr>
    </w:pPr>
    <w:r>
      <w:rPr>
        <w:b/>
      </w:rPr>
      <w:t>Permit</w:t>
    </w:r>
    <w:r w:rsidR="00067BE2">
      <w:rPr>
        <w:b/>
      </w:rPr>
      <w:t xml:space="preserve"> </w:t>
    </w:r>
    <w:r w:rsidR="008827ED">
      <w:rPr>
        <w:b/>
      </w:rPr>
      <w:t>Nos.</w:t>
    </w:r>
    <w:r w:rsidR="00611164">
      <w:rPr>
        <w:b/>
      </w:rPr>
      <w:t xml:space="preserve"> 6334-R2, 6335-R2</w:t>
    </w:r>
    <w:r w:rsidR="00067BE2">
      <w:rPr>
        <w:b/>
      </w:rPr>
      <w:t>,</w:t>
    </w:r>
    <w:r w:rsidR="009B0281">
      <w:rPr>
        <w:b/>
      </w:rPr>
      <w:t xml:space="preserve"> </w:t>
    </w:r>
    <w:r w:rsidR="00AF5230">
      <w:rPr>
        <w:b/>
      </w:rPr>
      <w:t xml:space="preserve">and </w:t>
    </w:r>
    <w:r w:rsidR="00611164">
      <w:rPr>
        <w:b/>
      </w:rPr>
      <w:t>6336-R2</w:t>
    </w:r>
    <w:r>
      <w:rPr>
        <w:b/>
      </w:rPr>
      <w:t xml:space="preserve"> </w:t>
    </w:r>
    <w:r w:rsidRPr="001A1259">
      <w:rPr>
        <w:b/>
      </w:rPr>
      <w:t xml:space="preserve">to </w:t>
    </w:r>
    <w:r>
      <w:rPr>
        <w:b/>
      </w:rPr>
      <w:t>Operate</w:t>
    </w:r>
    <w:r w:rsidR="00B9461D">
      <w:rPr>
        <w:b/>
      </w:rPr>
      <w:t xml:space="preserve"> </w:t>
    </w:r>
    <w:r w:rsidR="00AF5230">
      <w:rPr>
        <w:b/>
      </w:rPr>
      <w:t>T</w:t>
    </w:r>
    <w:r w:rsidR="00611164">
      <w:rPr>
        <w:b/>
      </w:rPr>
      <w:t>hree</w:t>
    </w:r>
    <w:r w:rsidR="00B9461D">
      <w:rPr>
        <w:b/>
      </w:rPr>
      <w:t xml:space="preserve"> </w:t>
    </w:r>
    <w:r w:rsidR="001D5F76">
      <w:rPr>
        <w:b/>
      </w:rPr>
      <w:t>Dual Fuel-</w:t>
    </w:r>
    <w:r w:rsidR="00AD0C07">
      <w:rPr>
        <w:b/>
      </w:rPr>
      <w:t>Fired</w:t>
    </w:r>
    <w:r>
      <w:rPr>
        <w:b/>
      </w:rPr>
      <w:t xml:space="preserve"> Boilers</w:t>
    </w:r>
  </w:p>
  <w:p w:rsidR="00564065" w:rsidRDefault="000E33F8" w:rsidP="00564065">
    <w:pPr>
      <w:pStyle w:val="Header"/>
    </w:pPr>
    <w:r>
      <w:t>July 2</w:t>
    </w:r>
    <w:r w:rsidR="00B9461D">
      <w:t>, 201</w:t>
    </w:r>
    <w:r w:rsidR="00611164">
      <w:t>9</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0E33F8">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C2A94"/>
    <w:multiLevelType w:val="hybridMultilevel"/>
    <w:tmpl w:val="68A281CC"/>
    <w:lvl w:ilvl="0" w:tplc="0F64F5D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40140ABE"/>
    <w:multiLevelType w:val="multilevel"/>
    <w:tmpl w:val="7D42D9A8"/>
    <w:lvl w:ilvl="0">
      <w:start w:val="1"/>
      <w:numFmt w:val="upperRoman"/>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024823"/>
    <w:multiLevelType w:val="hybridMultilevel"/>
    <w:tmpl w:val="60344A80"/>
    <w:lvl w:ilvl="0" w:tplc="FDA4FFD0">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0"/>
  </w:num>
  <w:num w:numId="6">
    <w:abstractNumId w:val="2"/>
  </w:num>
  <w:num w:numId="7">
    <w:abstractNumId w:val="5"/>
  </w:num>
  <w:num w:numId="8">
    <w:abstractNumId w:val="9"/>
  </w:num>
  <w:num w:numId="9">
    <w:abstractNumId w:val="11"/>
  </w:num>
  <w:num w:numId="10">
    <w:abstractNumId w:val="1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16C75"/>
    <w:rsid w:val="00023DEE"/>
    <w:rsid w:val="00024F87"/>
    <w:rsid w:val="000347C2"/>
    <w:rsid w:val="00042788"/>
    <w:rsid w:val="00045EF2"/>
    <w:rsid w:val="0005177E"/>
    <w:rsid w:val="00052994"/>
    <w:rsid w:val="00054D46"/>
    <w:rsid w:val="00067BE2"/>
    <w:rsid w:val="00071F3B"/>
    <w:rsid w:val="00075F29"/>
    <w:rsid w:val="000844BE"/>
    <w:rsid w:val="000938C8"/>
    <w:rsid w:val="000A4B16"/>
    <w:rsid w:val="000D718B"/>
    <w:rsid w:val="000E33F8"/>
    <w:rsid w:val="00110D20"/>
    <w:rsid w:val="00110F98"/>
    <w:rsid w:val="0011140A"/>
    <w:rsid w:val="001146D1"/>
    <w:rsid w:val="00117635"/>
    <w:rsid w:val="00124F79"/>
    <w:rsid w:val="0013210D"/>
    <w:rsid w:val="00136B8D"/>
    <w:rsid w:val="0014041E"/>
    <w:rsid w:val="00140B84"/>
    <w:rsid w:val="00157D06"/>
    <w:rsid w:val="0016428A"/>
    <w:rsid w:val="001671DF"/>
    <w:rsid w:val="0017320E"/>
    <w:rsid w:val="00177B6C"/>
    <w:rsid w:val="00183F16"/>
    <w:rsid w:val="00187009"/>
    <w:rsid w:val="001910E0"/>
    <w:rsid w:val="00194954"/>
    <w:rsid w:val="001A2D01"/>
    <w:rsid w:val="001A2E34"/>
    <w:rsid w:val="001B098D"/>
    <w:rsid w:val="001D2B9E"/>
    <w:rsid w:val="001D4D22"/>
    <w:rsid w:val="001D5F76"/>
    <w:rsid w:val="001E0E03"/>
    <w:rsid w:val="001E26E4"/>
    <w:rsid w:val="001E53BF"/>
    <w:rsid w:val="001F561B"/>
    <w:rsid w:val="001F61B4"/>
    <w:rsid w:val="00211F9E"/>
    <w:rsid w:val="002208D5"/>
    <w:rsid w:val="00226D48"/>
    <w:rsid w:val="00244A21"/>
    <w:rsid w:val="00250AAA"/>
    <w:rsid w:val="00261894"/>
    <w:rsid w:val="002642B9"/>
    <w:rsid w:val="00271FB2"/>
    <w:rsid w:val="00273F08"/>
    <w:rsid w:val="00275781"/>
    <w:rsid w:val="002849FF"/>
    <w:rsid w:val="002908A0"/>
    <w:rsid w:val="002A7EB0"/>
    <w:rsid w:val="002B1D56"/>
    <w:rsid w:val="002B57F4"/>
    <w:rsid w:val="002C6660"/>
    <w:rsid w:val="002C670D"/>
    <w:rsid w:val="002C7614"/>
    <w:rsid w:val="002D0497"/>
    <w:rsid w:val="002D107B"/>
    <w:rsid w:val="002E0809"/>
    <w:rsid w:val="002E239A"/>
    <w:rsid w:val="002E37D1"/>
    <w:rsid w:val="002F73E3"/>
    <w:rsid w:val="0030116A"/>
    <w:rsid w:val="003044C6"/>
    <w:rsid w:val="003140EA"/>
    <w:rsid w:val="0032450C"/>
    <w:rsid w:val="0032619F"/>
    <w:rsid w:val="003426A6"/>
    <w:rsid w:val="00344B1E"/>
    <w:rsid w:val="00355520"/>
    <w:rsid w:val="00367167"/>
    <w:rsid w:val="00367CDF"/>
    <w:rsid w:val="00377959"/>
    <w:rsid w:val="003A0C66"/>
    <w:rsid w:val="003A5A71"/>
    <w:rsid w:val="003B2CC6"/>
    <w:rsid w:val="003B44DF"/>
    <w:rsid w:val="003C1530"/>
    <w:rsid w:val="003C233D"/>
    <w:rsid w:val="003C67A1"/>
    <w:rsid w:val="003D2890"/>
    <w:rsid w:val="003D62B7"/>
    <w:rsid w:val="003E6FB3"/>
    <w:rsid w:val="00417B78"/>
    <w:rsid w:val="0042395C"/>
    <w:rsid w:val="00451564"/>
    <w:rsid w:val="00452CED"/>
    <w:rsid w:val="00455569"/>
    <w:rsid w:val="00460225"/>
    <w:rsid w:val="00462A6E"/>
    <w:rsid w:val="00482725"/>
    <w:rsid w:val="004A1250"/>
    <w:rsid w:val="004C41B1"/>
    <w:rsid w:val="004C6C8C"/>
    <w:rsid w:val="004D1B50"/>
    <w:rsid w:val="004E2D6A"/>
    <w:rsid w:val="004F7D23"/>
    <w:rsid w:val="00501FC1"/>
    <w:rsid w:val="00507F38"/>
    <w:rsid w:val="00511480"/>
    <w:rsid w:val="00512DE1"/>
    <w:rsid w:val="00523832"/>
    <w:rsid w:val="00525252"/>
    <w:rsid w:val="00532D28"/>
    <w:rsid w:val="00537EBB"/>
    <w:rsid w:val="0054549A"/>
    <w:rsid w:val="00545DBC"/>
    <w:rsid w:val="00561103"/>
    <w:rsid w:val="005622AA"/>
    <w:rsid w:val="00562CE0"/>
    <w:rsid w:val="00564065"/>
    <w:rsid w:val="0056640B"/>
    <w:rsid w:val="005675BF"/>
    <w:rsid w:val="0057729C"/>
    <w:rsid w:val="00593083"/>
    <w:rsid w:val="005A2EC4"/>
    <w:rsid w:val="005A5374"/>
    <w:rsid w:val="005A6615"/>
    <w:rsid w:val="005B7510"/>
    <w:rsid w:val="005C1384"/>
    <w:rsid w:val="005C56C9"/>
    <w:rsid w:val="005D1377"/>
    <w:rsid w:val="005D2B8D"/>
    <w:rsid w:val="005D5F88"/>
    <w:rsid w:val="005E2B54"/>
    <w:rsid w:val="005F5962"/>
    <w:rsid w:val="0061080C"/>
    <w:rsid w:val="00611164"/>
    <w:rsid w:val="0061180D"/>
    <w:rsid w:val="00611E7F"/>
    <w:rsid w:val="006157F3"/>
    <w:rsid w:val="00617DC2"/>
    <w:rsid w:val="006422A0"/>
    <w:rsid w:val="006527CA"/>
    <w:rsid w:val="00653218"/>
    <w:rsid w:val="006542C9"/>
    <w:rsid w:val="0066238A"/>
    <w:rsid w:val="00664343"/>
    <w:rsid w:val="00665E3E"/>
    <w:rsid w:val="00672C88"/>
    <w:rsid w:val="006764AE"/>
    <w:rsid w:val="00694B0B"/>
    <w:rsid w:val="006A0EF5"/>
    <w:rsid w:val="006A52C2"/>
    <w:rsid w:val="006B6E7C"/>
    <w:rsid w:val="006C20A5"/>
    <w:rsid w:val="006C2AE5"/>
    <w:rsid w:val="006C524E"/>
    <w:rsid w:val="006D16FE"/>
    <w:rsid w:val="006D1EB5"/>
    <w:rsid w:val="006D276D"/>
    <w:rsid w:val="006E19B9"/>
    <w:rsid w:val="006F7291"/>
    <w:rsid w:val="007011CB"/>
    <w:rsid w:val="0070131C"/>
    <w:rsid w:val="0071289B"/>
    <w:rsid w:val="00715483"/>
    <w:rsid w:val="00723B5D"/>
    <w:rsid w:val="00731447"/>
    <w:rsid w:val="00732EC4"/>
    <w:rsid w:val="0073637C"/>
    <w:rsid w:val="00737C82"/>
    <w:rsid w:val="00750226"/>
    <w:rsid w:val="0075578D"/>
    <w:rsid w:val="00774F01"/>
    <w:rsid w:val="00785ED5"/>
    <w:rsid w:val="007A6215"/>
    <w:rsid w:val="007A7583"/>
    <w:rsid w:val="007B12E0"/>
    <w:rsid w:val="007B18E8"/>
    <w:rsid w:val="007B48C1"/>
    <w:rsid w:val="007B677C"/>
    <w:rsid w:val="007B6F40"/>
    <w:rsid w:val="007B7DDD"/>
    <w:rsid w:val="007E529D"/>
    <w:rsid w:val="007E680E"/>
    <w:rsid w:val="007F102C"/>
    <w:rsid w:val="007F35DA"/>
    <w:rsid w:val="0081595A"/>
    <w:rsid w:val="0082065A"/>
    <w:rsid w:val="008258F6"/>
    <w:rsid w:val="008275B1"/>
    <w:rsid w:val="00850C80"/>
    <w:rsid w:val="00860ECE"/>
    <w:rsid w:val="0086553F"/>
    <w:rsid w:val="00871689"/>
    <w:rsid w:val="00876356"/>
    <w:rsid w:val="008827ED"/>
    <w:rsid w:val="00882CD3"/>
    <w:rsid w:val="008831B1"/>
    <w:rsid w:val="00883E7D"/>
    <w:rsid w:val="00890A64"/>
    <w:rsid w:val="00890DF6"/>
    <w:rsid w:val="00891880"/>
    <w:rsid w:val="008936B1"/>
    <w:rsid w:val="008942D0"/>
    <w:rsid w:val="008943ED"/>
    <w:rsid w:val="008A3475"/>
    <w:rsid w:val="008B31B3"/>
    <w:rsid w:val="008B5A88"/>
    <w:rsid w:val="008B769D"/>
    <w:rsid w:val="008C623E"/>
    <w:rsid w:val="008C7A19"/>
    <w:rsid w:val="008D01B0"/>
    <w:rsid w:val="008D143A"/>
    <w:rsid w:val="008D399E"/>
    <w:rsid w:val="008D4ECE"/>
    <w:rsid w:val="008E0BA3"/>
    <w:rsid w:val="008E34EC"/>
    <w:rsid w:val="008F1F02"/>
    <w:rsid w:val="00901812"/>
    <w:rsid w:val="00904015"/>
    <w:rsid w:val="00917C51"/>
    <w:rsid w:val="0092010A"/>
    <w:rsid w:val="00921DA7"/>
    <w:rsid w:val="009224EE"/>
    <w:rsid w:val="009247DE"/>
    <w:rsid w:val="00964562"/>
    <w:rsid w:val="00964C32"/>
    <w:rsid w:val="009704C9"/>
    <w:rsid w:val="0097063A"/>
    <w:rsid w:val="00970EE1"/>
    <w:rsid w:val="0097219D"/>
    <w:rsid w:val="00975DF9"/>
    <w:rsid w:val="009813D6"/>
    <w:rsid w:val="009879CA"/>
    <w:rsid w:val="009909FA"/>
    <w:rsid w:val="009953BB"/>
    <w:rsid w:val="009A1CA4"/>
    <w:rsid w:val="009A2249"/>
    <w:rsid w:val="009A7756"/>
    <w:rsid w:val="009B0147"/>
    <w:rsid w:val="009B0281"/>
    <w:rsid w:val="009B0D9E"/>
    <w:rsid w:val="009B1F07"/>
    <w:rsid w:val="009B4108"/>
    <w:rsid w:val="009B5736"/>
    <w:rsid w:val="009C06D1"/>
    <w:rsid w:val="009C48E2"/>
    <w:rsid w:val="009D04BA"/>
    <w:rsid w:val="009D4116"/>
    <w:rsid w:val="009E3D95"/>
    <w:rsid w:val="009E5B4A"/>
    <w:rsid w:val="009F6B5F"/>
    <w:rsid w:val="00A05F03"/>
    <w:rsid w:val="00A147AA"/>
    <w:rsid w:val="00A17E11"/>
    <w:rsid w:val="00A25BF7"/>
    <w:rsid w:val="00A32201"/>
    <w:rsid w:val="00A327F2"/>
    <w:rsid w:val="00A328B1"/>
    <w:rsid w:val="00A36A6B"/>
    <w:rsid w:val="00A405D7"/>
    <w:rsid w:val="00A40834"/>
    <w:rsid w:val="00A47251"/>
    <w:rsid w:val="00A533B7"/>
    <w:rsid w:val="00A53495"/>
    <w:rsid w:val="00A67445"/>
    <w:rsid w:val="00A779B6"/>
    <w:rsid w:val="00A8425C"/>
    <w:rsid w:val="00A8483C"/>
    <w:rsid w:val="00A8624D"/>
    <w:rsid w:val="00A90053"/>
    <w:rsid w:val="00A94AA8"/>
    <w:rsid w:val="00A97E9D"/>
    <w:rsid w:val="00AA04A2"/>
    <w:rsid w:val="00AA625A"/>
    <w:rsid w:val="00AA63DD"/>
    <w:rsid w:val="00AB1F9A"/>
    <w:rsid w:val="00AC02A5"/>
    <w:rsid w:val="00AC1D0B"/>
    <w:rsid w:val="00AC4536"/>
    <w:rsid w:val="00AC47C6"/>
    <w:rsid w:val="00AD0C07"/>
    <w:rsid w:val="00AD261D"/>
    <w:rsid w:val="00AD6C15"/>
    <w:rsid w:val="00AE0665"/>
    <w:rsid w:val="00AE347F"/>
    <w:rsid w:val="00AF0648"/>
    <w:rsid w:val="00AF1F64"/>
    <w:rsid w:val="00AF5230"/>
    <w:rsid w:val="00B02A6F"/>
    <w:rsid w:val="00B07BD3"/>
    <w:rsid w:val="00B12C2D"/>
    <w:rsid w:val="00B12FFC"/>
    <w:rsid w:val="00B16ED4"/>
    <w:rsid w:val="00B200A7"/>
    <w:rsid w:val="00B22831"/>
    <w:rsid w:val="00B22C46"/>
    <w:rsid w:val="00B249A6"/>
    <w:rsid w:val="00B26DCC"/>
    <w:rsid w:val="00B331FC"/>
    <w:rsid w:val="00B37380"/>
    <w:rsid w:val="00B42CCA"/>
    <w:rsid w:val="00B57208"/>
    <w:rsid w:val="00B576E1"/>
    <w:rsid w:val="00B57DAE"/>
    <w:rsid w:val="00B60BA7"/>
    <w:rsid w:val="00B63B92"/>
    <w:rsid w:val="00B803F0"/>
    <w:rsid w:val="00B8576C"/>
    <w:rsid w:val="00B86E37"/>
    <w:rsid w:val="00B87ED0"/>
    <w:rsid w:val="00B9461D"/>
    <w:rsid w:val="00BA7B16"/>
    <w:rsid w:val="00BB4D5D"/>
    <w:rsid w:val="00BC1676"/>
    <w:rsid w:val="00BD5B8E"/>
    <w:rsid w:val="00BD5E57"/>
    <w:rsid w:val="00BE335B"/>
    <w:rsid w:val="00BE4EC3"/>
    <w:rsid w:val="00BF45D3"/>
    <w:rsid w:val="00C00FF9"/>
    <w:rsid w:val="00C020C5"/>
    <w:rsid w:val="00C0764F"/>
    <w:rsid w:val="00C07C6F"/>
    <w:rsid w:val="00C17239"/>
    <w:rsid w:val="00C20B84"/>
    <w:rsid w:val="00C227B4"/>
    <w:rsid w:val="00C25DCB"/>
    <w:rsid w:val="00C2728F"/>
    <w:rsid w:val="00C4725D"/>
    <w:rsid w:val="00C55697"/>
    <w:rsid w:val="00C573A8"/>
    <w:rsid w:val="00C60895"/>
    <w:rsid w:val="00C672D1"/>
    <w:rsid w:val="00C74823"/>
    <w:rsid w:val="00C755AB"/>
    <w:rsid w:val="00C80FD8"/>
    <w:rsid w:val="00C81F76"/>
    <w:rsid w:val="00C86776"/>
    <w:rsid w:val="00C92542"/>
    <w:rsid w:val="00CA6B74"/>
    <w:rsid w:val="00CA7121"/>
    <w:rsid w:val="00CC68D3"/>
    <w:rsid w:val="00CC77D1"/>
    <w:rsid w:val="00CC77E5"/>
    <w:rsid w:val="00CD3BD5"/>
    <w:rsid w:val="00CD6C94"/>
    <w:rsid w:val="00CE5B65"/>
    <w:rsid w:val="00CF136A"/>
    <w:rsid w:val="00D036D9"/>
    <w:rsid w:val="00D04603"/>
    <w:rsid w:val="00D30880"/>
    <w:rsid w:val="00D30D92"/>
    <w:rsid w:val="00D33BFC"/>
    <w:rsid w:val="00D36FDA"/>
    <w:rsid w:val="00D40D15"/>
    <w:rsid w:val="00D40F43"/>
    <w:rsid w:val="00D45C4E"/>
    <w:rsid w:val="00D46983"/>
    <w:rsid w:val="00D477ED"/>
    <w:rsid w:val="00D579C4"/>
    <w:rsid w:val="00D653C4"/>
    <w:rsid w:val="00D717A9"/>
    <w:rsid w:val="00D749C3"/>
    <w:rsid w:val="00D74A9D"/>
    <w:rsid w:val="00D75DEE"/>
    <w:rsid w:val="00D8110F"/>
    <w:rsid w:val="00D816EF"/>
    <w:rsid w:val="00D84424"/>
    <w:rsid w:val="00D84976"/>
    <w:rsid w:val="00D85C17"/>
    <w:rsid w:val="00D9183E"/>
    <w:rsid w:val="00D94DF6"/>
    <w:rsid w:val="00D96569"/>
    <w:rsid w:val="00DA062F"/>
    <w:rsid w:val="00DB3C9D"/>
    <w:rsid w:val="00DB7215"/>
    <w:rsid w:val="00DC1B14"/>
    <w:rsid w:val="00DC389C"/>
    <w:rsid w:val="00DC4653"/>
    <w:rsid w:val="00DC51BD"/>
    <w:rsid w:val="00DC5687"/>
    <w:rsid w:val="00DD72E6"/>
    <w:rsid w:val="00DE2E87"/>
    <w:rsid w:val="00DF19CD"/>
    <w:rsid w:val="00E00189"/>
    <w:rsid w:val="00E20183"/>
    <w:rsid w:val="00E54043"/>
    <w:rsid w:val="00E542E6"/>
    <w:rsid w:val="00E54C82"/>
    <w:rsid w:val="00E55CA2"/>
    <w:rsid w:val="00E60579"/>
    <w:rsid w:val="00E727DF"/>
    <w:rsid w:val="00E74493"/>
    <w:rsid w:val="00E84BAF"/>
    <w:rsid w:val="00E87306"/>
    <w:rsid w:val="00E913E0"/>
    <w:rsid w:val="00E92CC7"/>
    <w:rsid w:val="00EA4DF0"/>
    <w:rsid w:val="00EB61C5"/>
    <w:rsid w:val="00ED0CC4"/>
    <w:rsid w:val="00ED1A6B"/>
    <w:rsid w:val="00EE26C1"/>
    <w:rsid w:val="00EE3BEE"/>
    <w:rsid w:val="00EE7676"/>
    <w:rsid w:val="00EF07A6"/>
    <w:rsid w:val="00F03133"/>
    <w:rsid w:val="00F0380E"/>
    <w:rsid w:val="00F04990"/>
    <w:rsid w:val="00F10F68"/>
    <w:rsid w:val="00F151E6"/>
    <w:rsid w:val="00F178F0"/>
    <w:rsid w:val="00F205C0"/>
    <w:rsid w:val="00F251EB"/>
    <w:rsid w:val="00F2687F"/>
    <w:rsid w:val="00F33610"/>
    <w:rsid w:val="00F4133E"/>
    <w:rsid w:val="00F57665"/>
    <w:rsid w:val="00F70EC2"/>
    <w:rsid w:val="00F81C85"/>
    <w:rsid w:val="00F92088"/>
    <w:rsid w:val="00F93351"/>
    <w:rsid w:val="00FA350A"/>
    <w:rsid w:val="00FA7278"/>
    <w:rsid w:val="00FA7656"/>
    <w:rsid w:val="00FB2DD5"/>
    <w:rsid w:val="00FC288E"/>
    <w:rsid w:val="00FC68D0"/>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9918498">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5EFD-2AD7-49FF-ABDD-A4618917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1392</TotalTime>
  <Pages>9</Pages>
  <Words>3073</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19468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6</cp:revision>
  <cp:lastPrinted>2019-01-23T18:11:00Z</cp:lastPrinted>
  <dcterms:created xsi:type="dcterms:W3CDTF">2019-05-15T21:58:00Z</dcterms:created>
  <dcterms:modified xsi:type="dcterms:W3CDTF">2019-05-20T20:31:00Z</dcterms:modified>
</cp:coreProperties>
</file>