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46" w:rsidRDefault="00DE06DE" w:rsidP="00313546">
      <w:pPr>
        <w:pStyle w:val="Signature"/>
      </w:pPr>
      <w:r>
        <w:t>May 19</w:t>
      </w:r>
      <w:r w:rsidR="003E7017">
        <w:t>, 2015</w:t>
      </w:r>
    </w:p>
    <w:p w:rsidR="00313546" w:rsidRDefault="00313546" w:rsidP="00313546">
      <w:pPr>
        <w:pStyle w:val="Signature"/>
      </w:pPr>
    </w:p>
    <w:p w:rsidR="00313546" w:rsidRDefault="003E7017" w:rsidP="00313546">
      <w:pPr>
        <w:pStyle w:val="Signature"/>
      </w:pPr>
      <w:r>
        <w:t xml:space="preserve">Carla </w:t>
      </w:r>
      <w:r w:rsidR="00DE06DE">
        <w:t xml:space="preserve">A. </w:t>
      </w:r>
      <w:proofErr w:type="spellStart"/>
      <w:r>
        <w:t>Grano</w:t>
      </w:r>
      <w:proofErr w:type="spellEnd"/>
    </w:p>
    <w:p w:rsidR="003E7017" w:rsidRDefault="00855092" w:rsidP="00313546">
      <w:pPr>
        <w:pStyle w:val="Signature"/>
      </w:pPr>
      <w:r>
        <w:t>Deputy Chief</w:t>
      </w:r>
      <w:r w:rsidR="003E7017">
        <w:t xml:space="preserve">, </w:t>
      </w:r>
      <w:r w:rsidR="00313546">
        <w:t>Environmental Management &amp; Industrial Hygiene</w:t>
      </w:r>
    </w:p>
    <w:p w:rsidR="00313546" w:rsidRDefault="003E7017" w:rsidP="00313546">
      <w:pPr>
        <w:pStyle w:val="Signature"/>
      </w:pPr>
      <w:r>
        <w:t>Washington Metropolitan Area Transit Authority</w:t>
      </w:r>
      <w:r w:rsidR="00313546">
        <w:t xml:space="preserve"> </w:t>
      </w:r>
    </w:p>
    <w:p w:rsidR="00313546" w:rsidRDefault="00313546" w:rsidP="00313546">
      <w:pPr>
        <w:pStyle w:val="Signature"/>
      </w:pPr>
      <w:r>
        <w:t xml:space="preserve">3500 </w:t>
      </w:r>
      <w:proofErr w:type="spellStart"/>
      <w:r>
        <w:t>Pennsy</w:t>
      </w:r>
      <w:proofErr w:type="spellEnd"/>
      <w:r>
        <w:t xml:space="preserve"> Drive</w:t>
      </w:r>
      <w:r w:rsidR="0062796B">
        <w:t>, Room C-172</w:t>
      </w:r>
    </w:p>
    <w:p w:rsidR="00313546" w:rsidRDefault="00313546" w:rsidP="00313546">
      <w:pPr>
        <w:pStyle w:val="Signature"/>
      </w:pPr>
      <w:r>
        <w:t>Landover, MD 20785</w:t>
      </w:r>
    </w:p>
    <w:p w:rsidR="00313546" w:rsidRDefault="00313546" w:rsidP="00313546">
      <w:pPr>
        <w:pStyle w:val="Signature"/>
      </w:pPr>
    </w:p>
    <w:p w:rsidR="00313546" w:rsidRDefault="00C20D4F" w:rsidP="00C20D4F">
      <w:pPr>
        <w:pStyle w:val="Signature"/>
        <w:ind w:left="1080" w:hanging="1080"/>
        <w:rPr>
          <w:b/>
          <w:bCs/>
        </w:rPr>
      </w:pPr>
      <w:r>
        <w:rPr>
          <w:b/>
          <w:bCs/>
        </w:rPr>
        <w:t>Subject:</w:t>
      </w:r>
      <w:r>
        <w:rPr>
          <w:b/>
          <w:bCs/>
        </w:rPr>
        <w:tab/>
      </w:r>
      <w:r w:rsidR="001E13ED">
        <w:rPr>
          <w:b/>
          <w:bCs/>
        </w:rPr>
        <w:t>Permit #6554</w:t>
      </w:r>
      <w:r w:rsidR="0062796B">
        <w:rPr>
          <w:b/>
          <w:bCs/>
        </w:rPr>
        <w:t>-</w:t>
      </w:r>
      <w:r w:rsidR="003E7017">
        <w:rPr>
          <w:b/>
          <w:bCs/>
        </w:rPr>
        <w:t>R1</w:t>
      </w:r>
      <w:r w:rsidR="00313546">
        <w:rPr>
          <w:b/>
          <w:bCs/>
        </w:rPr>
        <w:t xml:space="preserve"> to Operate a Spray Paint Booth </w:t>
      </w:r>
      <w:r>
        <w:rPr>
          <w:b/>
          <w:bCs/>
        </w:rPr>
        <w:t>at the Shepherd Parkway Bus Facility</w:t>
      </w:r>
    </w:p>
    <w:p w:rsidR="00313546" w:rsidRDefault="00313546" w:rsidP="00313546">
      <w:pPr>
        <w:pStyle w:val="Signature"/>
      </w:pPr>
    </w:p>
    <w:p w:rsidR="00313546" w:rsidRDefault="00313546" w:rsidP="00313546">
      <w:pPr>
        <w:pStyle w:val="Signature"/>
      </w:pPr>
      <w:r>
        <w:t xml:space="preserve">Dear Ms. </w:t>
      </w:r>
      <w:proofErr w:type="spellStart"/>
      <w:r w:rsidR="003E7017">
        <w:t>Grano</w:t>
      </w:r>
      <w:proofErr w:type="spellEnd"/>
      <w:r>
        <w:t>:</w:t>
      </w:r>
    </w:p>
    <w:p w:rsidR="00313546" w:rsidRDefault="00313546" w:rsidP="00313546">
      <w:pPr>
        <w:pStyle w:val="Signature"/>
      </w:pPr>
    </w:p>
    <w:p w:rsidR="00313546" w:rsidRDefault="00313546" w:rsidP="00313546">
      <w:pPr>
        <w:pStyle w:val="Signature"/>
      </w:pPr>
      <w:r>
        <w:t>Pursuant to the Air Pollution control requirements of Title 20, Section</w:t>
      </w:r>
      <w:r w:rsidR="00855092">
        <w:t>s</w:t>
      </w:r>
      <w:r>
        <w:t xml:space="preserve"> 200</w:t>
      </w:r>
      <w:r w:rsidR="00855092">
        <w:t>.1 and 200.2</w:t>
      </w:r>
      <w:r>
        <w:t xml:space="preserve"> of the District of Columbia Municipal Regulations (20 DCMR), your application for a permit </w:t>
      </w:r>
      <w:r w:rsidR="00A41781">
        <w:t xml:space="preserve">to </w:t>
      </w:r>
      <w:r>
        <w:t xml:space="preserve">operate a paint booth at the </w:t>
      </w:r>
      <w:r w:rsidRPr="00246ADF">
        <w:rPr>
          <w:bCs/>
          <w:color w:val="000000"/>
        </w:rPr>
        <w:t>Washington Metropolitan Area Transit Authority</w:t>
      </w:r>
      <w:r w:rsidRPr="005F34F2">
        <w:rPr>
          <w:b/>
          <w:bCs/>
          <w:color w:val="000000"/>
        </w:rPr>
        <w:t xml:space="preserve"> </w:t>
      </w:r>
      <w:r>
        <w:rPr>
          <w:b/>
          <w:bCs/>
          <w:color w:val="000000"/>
        </w:rPr>
        <w:t>(</w:t>
      </w:r>
      <w:r>
        <w:t xml:space="preserve">WMATA) </w:t>
      </w:r>
      <w:r w:rsidR="00DE06DE">
        <w:t>Shepherd Parkway Bus Facility (f</w:t>
      </w:r>
      <w:r>
        <w:t xml:space="preserve">ormerly known as </w:t>
      </w:r>
      <w:r w:rsidR="00B8081C">
        <w:t xml:space="preserve">the </w:t>
      </w:r>
      <w:bookmarkStart w:id="0" w:name="_GoBack"/>
      <w:bookmarkEnd w:id="0"/>
      <w:r>
        <w:t xml:space="preserve">Southern Bus Garage) (“the Permittee”) has been received. The spray booth will be used for doing touch-up work on the buses that operate from this garage. The equipment includes a global Finishing Solutions (GFS) </w:t>
      </w:r>
      <w:proofErr w:type="spellStart"/>
      <w:r>
        <w:t>crossdraft</w:t>
      </w:r>
      <w:proofErr w:type="spellEnd"/>
      <w:r>
        <w:t xml:space="preserve"> spray booth, the Air Makeup Unit (AMU) and an exhaust fan.  Permission to operate the unit at 2 DC Village Lane, SW, Washington, DC per the submitted application dated </w:t>
      </w:r>
      <w:r w:rsidR="00DE06DE">
        <w:t>January 21</w:t>
      </w:r>
      <w:r>
        <w:t>, 201</w:t>
      </w:r>
      <w:r w:rsidR="00A41781">
        <w:t>5</w:t>
      </w:r>
      <w:r>
        <w:t xml:space="preserve"> is granted subject to the following conditions:</w:t>
      </w:r>
    </w:p>
    <w:p w:rsidR="00313546" w:rsidRDefault="00313546" w:rsidP="00313546">
      <w:pPr>
        <w:pStyle w:val="Signature"/>
      </w:pPr>
    </w:p>
    <w:p w:rsidR="00313546" w:rsidRPr="00975D79" w:rsidRDefault="00313546" w:rsidP="00313546">
      <w:pPr>
        <w:ind w:left="360" w:hanging="360"/>
        <w:rPr>
          <w:u w:val="single"/>
        </w:rPr>
      </w:pPr>
      <w:r w:rsidRPr="00975D79">
        <w:t>I.</w:t>
      </w:r>
      <w:r w:rsidRPr="00975D79">
        <w:tab/>
      </w:r>
      <w:r w:rsidRPr="00975D79">
        <w:rPr>
          <w:u w:val="single"/>
        </w:rPr>
        <w:t>General Requirements</w:t>
      </w:r>
      <w:r w:rsidRPr="00975D79">
        <w:t>:</w:t>
      </w:r>
    </w:p>
    <w:p w:rsidR="00313546" w:rsidRPr="00975D79" w:rsidRDefault="00313546" w:rsidP="00313546">
      <w:pPr>
        <w:ind w:left="360" w:hanging="360"/>
      </w:pPr>
    </w:p>
    <w:p w:rsidR="00313546" w:rsidRPr="00975D79" w:rsidRDefault="00313546" w:rsidP="00313546">
      <w:pPr>
        <w:ind w:left="720" w:hanging="360"/>
      </w:pPr>
      <w:r w:rsidRPr="00975D79">
        <w:t>a.</w:t>
      </w:r>
      <w:r w:rsidRPr="00975D79">
        <w:tab/>
        <w:t>The paint booth shall be maintained and operated in accordance with the air pollution control requirements of 20 DCMR.</w:t>
      </w:r>
    </w:p>
    <w:p w:rsidR="00313546" w:rsidRPr="00975D79" w:rsidRDefault="00313546" w:rsidP="00313546">
      <w:pPr>
        <w:ind w:left="720" w:hanging="360"/>
      </w:pPr>
    </w:p>
    <w:p w:rsidR="00313546" w:rsidRDefault="00313546" w:rsidP="00313546">
      <w:pPr>
        <w:ind w:left="720" w:hanging="360"/>
      </w:pPr>
      <w:r w:rsidRPr="00975D79">
        <w:t>b.</w:t>
      </w:r>
      <w:r w:rsidRPr="00975D79">
        <w:tab/>
      </w:r>
      <w:r w:rsidR="00DE06DE" w:rsidRPr="00975D79">
        <w:t xml:space="preserve">This permit </w:t>
      </w:r>
      <w:r w:rsidR="00DE06DE" w:rsidRPr="00AB4EA6">
        <w:t xml:space="preserve">expires </w:t>
      </w:r>
      <w:r w:rsidR="00DE06DE">
        <w:t>on May 18, 2020</w:t>
      </w:r>
      <w:r w:rsidR="00DE06DE" w:rsidRPr="00975D79">
        <w:t xml:space="preserve"> [20 DCMR 200.4].  If continued operation after this date is desired, the owner or operator shall submit a</w:t>
      </w:r>
      <w:r w:rsidR="00DE06DE">
        <w:t xml:space="preserve"> renewal application by February 18, 2020.</w:t>
      </w:r>
    </w:p>
    <w:p w:rsidR="00DE06DE" w:rsidRPr="00975D79" w:rsidRDefault="00DE06DE" w:rsidP="00313546">
      <w:pPr>
        <w:ind w:left="720" w:hanging="360"/>
      </w:pPr>
    </w:p>
    <w:p w:rsidR="00313546" w:rsidRPr="00975D79" w:rsidRDefault="00313546" w:rsidP="00313546">
      <w:pPr>
        <w:ind w:left="720" w:hanging="360"/>
      </w:pPr>
      <w:r w:rsidRPr="00975D79">
        <w:t>c.</w:t>
      </w:r>
      <w:r w:rsidRPr="00975D79">
        <w:tab/>
        <w:t>Operation of equipment under the authority of this permit shall be considered acceptance of its terms and conditions.</w:t>
      </w:r>
    </w:p>
    <w:p w:rsidR="00313546" w:rsidRPr="00975D79" w:rsidRDefault="00313546" w:rsidP="00313546">
      <w:pPr>
        <w:ind w:left="720" w:hanging="360"/>
      </w:pPr>
    </w:p>
    <w:p w:rsidR="00313546" w:rsidRPr="00975D79" w:rsidRDefault="00313546" w:rsidP="00313546">
      <w:pPr>
        <w:ind w:left="720" w:hanging="360"/>
      </w:pPr>
      <w:r w:rsidRPr="00975D79">
        <w:t>d.</w:t>
      </w:r>
      <w:r w:rsidRPr="00975D79">
        <w:tab/>
        <w:t xml:space="preserve">The Permittee shall allow authorized officials of the District, upon presentation of identification, to: </w:t>
      </w:r>
    </w:p>
    <w:p w:rsidR="00313546" w:rsidRPr="00975D79" w:rsidRDefault="00313546" w:rsidP="00313546">
      <w:pPr>
        <w:ind w:left="720" w:hanging="360"/>
      </w:pPr>
    </w:p>
    <w:p w:rsidR="00313546" w:rsidRPr="00975D79" w:rsidRDefault="00313546" w:rsidP="00313546">
      <w:pPr>
        <w:ind w:left="1080" w:hanging="360"/>
      </w:pPr>
      <w:r w:rsidRPr="00975D79">
        <w:t>1.</w:t>
      </w:r>
      <w:r w:rsidRPr="00975D79">
        <w:tab/>
        <w:t xml:space="preserve">Enter upon the </w:t>
      </w:r>
      <w:proofErr w:type="spellStart"/>
      <w:r w:rsidRPr="00975D79">
        <w:t>Permittee’s</w:t>
      </w:r>
      <w:proofErr w:type="spellEnd"/>
      <w:r w:rsidRPr="00975D79">
        <w:t xml:space="preserve"> premises where a source or emission unit is located, an </w:t>
      </w:r>
      <w:r w:rsidRPr="00975D79">
        <w:lastRenderedPageBreak/>
        <w:t>emissions related activity is conducted, or where records required by this permit are kept;</w:t>
      </w:r>
    </w:p>
    <w:p w:rsidR="00313546" w:rsidRPr="00975D79" w:rsidRDefault="00313546" w:rsidP="00313546">
      <w:pPr>
        <w:tabs>
          <w:tab w:val="left" w:pos="-1440"/>
          <w:tab w:val="left" w:pos="-720"/>
          <w:tab w:val="left" w:pos="1080"/>
        </w:tabs>
        <w:ind w:left="1080" w:hanging="360"/>
      </w:pPr>
    </w:p>
    <w:p w:rsidR="00313546" w:rsidRPr="00975D79" w:rsidRDefault="00313546" w:rsidP="00313546">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DE06DE" w:rsidRDefault="00DE06DE" w:rsidP="00313546">
      <w:pPr>
        <w:tabs>
          <w:tab w:val="left" w:pos="-1440"/>
          <w:tab w:val="left" w:pos="-720"/>
          <w:tab w:val="left" w:pos="1080"/>
        </w:tabs>
        <w:ind w:left="1080" w:hanging="360"/>
      </w:pPr>
    </w:p>
    <w:p w:rsidR="00313546" w:rsidRPr="00975D79" w:rsidRDefault="00313546" w:rsidP="00313546">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313546" w:rsidRPr="00975D79" w:rsidRDefault="00313546" w:rsidP="00313546">
      <w:pPr>
        <w:tabs>
          <w:tab w:val="left" w:pos="-1440"/>
          <w:tab w:val="left" w:pos="-720"/>
          <w:tab w:val="left" w:pos="1080"/>
        </w:tabs>
        <w:ind w:left="1080" w:hanging="360"/>
      </w:pPr>
    </w:p>
    <w:p w:rsidR="00313546" w:rsidRPr="00975D79" w:rsidRDefault="00313546" w:rsidP="00313546">
      <w:pPr>
        <w:ind w:left="1080" w:hanging="360"/>
        <w:jc w:val="both"/>
      </w:pPr>
      <w:r w:rsidRPr="00975D79">
        <w:t>4.</w:t>
      </w:r>
      <w:r w:rsidRPr="00975D79">
        <w:tab/>
        <w:t>Sample or monitor, at reasonable times, any substance or parameter for the purpose of assuring compliance with this permit or any applicable requirement.</w:t>
      </w:r>
    </w:p>
    <w:p w:rsidR="00313546" w:rsidRPr="00975D79" w:rsidRDefault="00313546" w:rsidP="00313546">
      <w:pPr>
        <w:ind w:left="720" w:hanging="360"/>
      </w:pPr>
    </w:p>
    <w:p w:rsidR="00313546" w:rsidRPr="00975D79" w:rsidRDefault="00313546" w:rsidP="00313546">
      <w:pPr>
        <w:ind w:left="720" w:hanging="360"/>
      </w:pPr>
      <w:r w:rsidRPr="00975D79">
        <w:t>e.</w:t>
      </w:r>
      <w:r w:rsidRPr="00975D79">
        <w:tab/>
        <w:t>This permit shall be kept on the premises and produced upon request.</w:t>
      </w:r>
    </w:p>
    <w:p w:rsidR="00313546" w:rsidRPr="00975D79" w:rsidRDefault="00313546" w:rsidP="00313546">
      <w:pPr>
        <w:ind w:left="720" w:hanging="360"/>
      </w:pPr>
    </w:p>
    <w:p w:rsidR="00313546" w:rsidRDefault="00313546" w:rsidP="00313546">
      <w:pPr>
        <w:numPr>
          <w:ilvl w:val="0"/>
          <w:numId w:val="2"/>
        </w:numPr>
      </w:pPr>
      <w:r w:rsidRPr="00975D79">
        <w:t>Failure to comply with the provisions of this permit may be grounds for suspension or revocation. [20 DCMR 202.2]</w:t>
      </w:r>
    </w:p>
    <w:p w:rsidR="00313546" w:rsidRDefault="00313546" w:rsidP="00313546">
      <w:pPr>
        <w:ind w:left="360"/>
      </w:pPr>
    </w:p>
    <w:p w:rsidR="00313546" w:rsidRPr="00975D79" w:rsidRDefault="00313546" w:rsidP="00313546">
      <w:pPr>
        <w:pStyle w:val="Signature"/>
        <w:tabs>
          <w:tab w:val="num" w:pos="360"/>
        </w:tabs>
        <w:ind w:left="360" w:hanging="360"/>
      </w:pPr>
      <w:r>
        <w:t>II.</w:t>
      </w:r>
      <w:r>
        <w:tab/>
      </w:r>
      <w:r>
        <w:rPr>
          <w:u w:val="single"/>
        </w:rPr>
        <w:t>Emission Limits</w:t>
      </w:r>
      <w:r>
        <w:t>:</w:t>
      </w:r>
    </w:p>
    <w:p w:rsidR="00313546" w:rsidRDefault="00313546" w:rsidP="00313546">
      <w:pPr>
        <w:pStyle w:val="Signature"/>
        <w:tabs>
          <w:tab w:val="num" w:pos="360"/>
        </w:tabs>
        <w:ind w:left="360" w:hanging="360"/>
      </w:pPr>
    </w:p>
    <w:p w:rsidR="00313546" w:rsidRDefault="00313546" w:rsidP="00313546">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w:t>
      </w:r>
    </w:p>
    <w:p w:rsidR="00313546" w:rsidRDefault="00313546" w:rsidP="00313546">
      <w:pPr>
        <w:pStyle w:val="Signature"/>
        <w:tabs>
          <w:tab w:val="num" w:pos="720"/>
        </w:tabs>
        <w:ind w:left="720" w:hanging="360"/>
      </w:pPr>
    </w:p>
    <w:p w:rsidR="00313546" w:rsidRDefault="00313546" w:rsidP="00313546">
      <w:pPr>
        <w:pStyle w:val="Signature"/>
        <w:tabs>
          <w:tab w:val="num" w:pos="720"/>
        </w:tabs>
        <w:ind w:left="720" w:hanging="360"/>
      </w:pPr>
      <w:r>
        <w:t>b.</w:t>
      </w:r>
      <w:r>
        <w:tab/>
      </w:r>
      <w:r w:rsidR="00D97487">
        <w:t>Repair</w:t>
      </w:r>
      <w:r>
        <w:t xml:space="preserve"> and refinishing coatings that contain volatile organic compounds (VOCs) in excess of the limits specified in Table I below</w:t>
      </w:r>
      <w:r>
        <w:rPr>
          <w:color w:val="000000"/>
        </w:rPr>
        <w:t>,</w:t>
      </w:r>
      <w:r>
        <w:t xml:space="preserve"> including any VOC containing materials added to the original coating supplied by the manufacturer, shall </w:t>
      </w:r>
      <w:r w:rsidR="00D97487">
        <w:t>not be applied to mobile equipment or mobile equipment components</w:t>
      </w:r>
      <w:r>
        <w:t>. [20 DCMR 718.3]</w:t>
      </w:r>
    </w:p>
    <w:p w:rsidR="00313546" w:rsidRDefault="00313546" w:rsidP="00313546">
      <w:pPr>
        <w:rPr>
          <w:color w:val="FF0000"/>
        </w:rPr>
      </w:pPr>
    </w:p>
    <w:p w:rsidR="00313546" w:rsidRPr="001529D4" w:rsidRDefault="00313546" w:rsidP="00D97487">
      <w:pPr>
        <w:tabs>
          <w:tab w:val="left" w:pos="1800"/>
        </w:tabs>
        <w:ind w:left="1800" w:hanging="1080"/>
      </w:pPr>
      <w:r w:rsidRPr="00A81116">
        <w:rPr>
          <w:b/>
        </w:rPr>
        <w:t>Table I:</w:t>
      </w:r>
      <w:r>
        <w:tab/>
      </w:r>
      <w:r w:rsidRPr="001529D4">
        <w:t xml:space="preserve">Allowable Content of VOCs in Mobile Equipment Repair and Refinishing Coatings </w:t>
      </w:r>
      <w:r w:rsidRPr="001529D4">
        <w:rPr>
          <w:i/>
          <w:iCs/>
        </w:rPr>
        <w:t>(as applied)</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80"/>
        <w:gridCol w:w="2250"/>
        <w:gridCol w:w="2250"/>
      </w:tblGrid>
      <w:tr w:rsidR="00313546" w:rsidRPr="001529D4" w:rsidTr="00D97487">
        <w:tc>
          <w:tcPr>
            <w:tcW w:w="4680" w:type="dxa"/>
          </w:tcPr>
          <w:p w:rsidR="00313546" w:rsidRPr="001529D4" w:rsidRDefault="00313546" w:rsidP="00F5127E">
            <w:pPr>
              <w:rPr>
                <w:b/>
                <w:bCs/>
              </w:rPr>
            </w:pPr>
            <w:r w:rsidRPr="001529D4">
              <w:t>  </w:t>
            </w:r>
            <w:r w:rsidRPr="001529D4">
              <w:rPr>
                <w:b/>
                <w:bCs/>
              </w:rPr>
              <w:t>Coating Type</w:t>
            </w:r>
          </w:p>
        </w:tc>
        <w:tc>
          <w:tcPr>
            <w:tcW w:w="2250" w:type="dxa"/>
          </w:tcPr>
          <w:p w:rsidR="00313546" w:rsidRPr="001529D4" w:rsidRDefault="00313546" w:rsidP="00F5127E">
            <w:pPr>
              <w:rPr>
                <w:b/>
                <w:bCs/>
              </w:rPr>
            </w:pPr>
            <w:r w:rsidRPr="001529D4">
              <w:rPr>
                <w:b/>
                <w:bCs/>
              </w:rPr>
              <w:t>Weight  </w:t>
            </w:r>
          </w:p>
        </w:tc>
        <w:tc>
          <w:tcPr>
            <w:tcW w:w="2250" w:type="dxa"/>
          </w:tcPr>
          <w:p w:rsidR="00313546" w:rsidRPr="001529D4" w:rsidRDefault="00313546" w:rsidP="00F5127E">
            <w:pPr>
              <w:rPr>
                <w:b/>
                <w:bCs/>
              </w:rPr>
            </w:pPr>
            <w:r w:rsidRPr="001529D4">
              <w:rPr>
                <w:b/>
                <w:bCs/>
              </w:rPr>
              <w:t> Limit*</w:t>
            </w:r>
          </w:p>
        </w:tc>
      </w:tr>
      <w:tr w:rsidR="00313546" w:rsidRPr="001529D4" w:rsidTr="00D97487">
        <w:tc>
          <w:tcPr>
            <w:tcW w:w="4680" w:type="dxa"/>
          </w:tcPr>
          <w:p w:rsidR="00313546" w:rsidRPr="001529D4" w:rsidRDefault="00313546" w:rsidP="00F5127E">
            <w:pPr>
              <w:pStyle w:val="Heading1"/>
            </w:pPr>
          </w:p>
        </w:tc>
        <w:tc>
          <w:tcPr>
            <w:tcW w:w="2250" w:type="dxa"/>
          </w:tcPr>
          <w:p w:rsidR="00313546" w:rsidRPr="001529D4" w:rsidRDefault="00313546" w:rsidP="00F5127E">
            <w:pPr>
              <w:ind w:right="-302"/>
            </w:pPr>
            <w:r w:rsidRPr="001529D4">
              <w:t>(Pounds per gallon)</w:t>
            </w:r>
          </w:p>
        </w:tc>
        <w:tc>
          <w:tcPr>
            <w:tcW w:w="2250" w:type="dxa"/>
          </w:tcPr>
          <w:p w:rsidR="00313546" w:rsidRPr="001529D4" w:rsidRDefault="00313546" w:rsidP="00F5127E">
            <w:r w:rsidRPr="001529D4">
              <w:t>(Grams per liter)</w:t>
            </w:r>
          </w:p>
        </w:tc>
      </w:tr>
      <w:tr w:rsidR="00313546" w:rsidRPr="001529D4" w:rsidTr="00D97487">
        <w:trPr>
          <w:trHeight w:val="242"/>
        </w:trPr>
        <w:tc>
          <w:tcPr>
            <w:tcW w:w="4680" w:type="dxa"/>
          </w:tcPr>
          <w:p w:rsidR="00313546" w:rsidRPr="001529D4" w:rsidRDefault="00313546" w:rsidP="00F5127E">
            <w:r w:rsidRPr="001529D4">
              <w:t>Automotive pretreatment primer</w:t>
            </w:r>
          </w:p>
        </w:tc>
        <w:tc>
          <w:tcPr>
            <w:tcW w:w="2250" w:type="dxa"/>
          </w:tcPr>
          <w:p w:rsidR="00313546" w:rsidRPr="001529D4" w:rsidRDefault="00313546" w:rsidP="00F5127E">
            <w:r w:rsidRPr="001529D4">
              <w:t>6.5</w:t>
            </w:r>
          </w:p>
        </w:tc>
        <w:tc>
          <w:tcPr>
            <w:tcW w:w="2250" w:type="dxa"/>
          </w:tcPr>
          <w:p w:rsidR="00313546" w:rsidRPr="001529D4" w:rsidRDefault="00313546" w:rsidP="00F5127E">
            <w:r w:rsidRPr="001529D4">
              <w:t>780</w:t>
            </w:r>
          </w:p>
        </w:tc>
      </w:tr>
      <w:tr w:rsidR="00313546" w:rsidRPr="001529D4" w:rsidTr="00D97487">
        <w:trPr>
          <w:trHeight w:val="260"/>
        </w:trPr>
        <w:tc>
          <w:tcPr>
            <w:tcW w:w="4680" w:type="dxa"/>
          </w:tcPr>
          <w:p w:rsidR="00313546" w:rsidRPr="001529D4" w:rsidRDefault="00313546" w:rsidP="00F5127E">
            <w:r w:rsidRPr="001529D4">
              <w:t>Automotive primer-</w:t>
            </w:r>
            <w:proofErr w:type="spellStart"/>
            <w:r w:rsidRPr="001529D4">
              <w:t>surfacer</w:t>
            </w:r>
            <w:proofErr w:type="spellEnd"/>
          </w:p>
        </w:tc>
        <w:tc>
          <w:tcPr>
            <w:tcW w:w="2250" w:type="dxa"/>
          </w:tcPr>
          <w:p w:rsidR="00313546" w:rsidRPr="001529D4" w:rsidRDefault="00313546" w:rsidP="00F5127E">
            <w:r w:rsidRPr="001529D4">
              <w:t>4.8</w:t>
            </w:r>
          </w:p>
        </w:tc>
        <w:tc>
          <w:tcPr>
            <w:tcW w:w="2250" w:type="dxa"/>
          </w:tcPr>
          <w:p w:rsidR="00313546" w:rsidRPr="001529D4" w:rsidRDefault="00313546" w:rsidP="00F5127E">
            <w:r w:rsidRPr="001529D4">
              <w:t>575</w:t>
            </w:r>
          </w:p>
        </w:tc>
      </w:tr>
      <w:tr w:rsidR="00313546" w:rsidRPr="001529D4" w:rsidTr="00D97487">
        <w:tc>
          <w:tcPr>
            <w:tcW w:w="4680" w:type="dxa"/>
          </w:tcPr>
          <w:p w:rsidR="00313546" w:rsidRPr="001529D4" w:rsidRDefault="00313546" w:rsidP="00F5127E">
            <w:r w:rsidRPr="001529D4">
              <w:t>Automotive primer-sealer</w:t>
            </w:r>
          </w:p>
        </w:tc>
        <w:tc>
          <w:tcPr>
            <w:tcW w:w="2250" w:type="dxa"/>
          </w:tcPr>
          <w:p w:rsidR="00313546" w:rsidRPr="001529D4" w:rsidRDefault="00313546" w:rsidP="00F5127E">
            <w:r w:rsidRPr="001529D4">
              <w:t>4.6</w:t>
            </w:r>
          </w:p>
        </w:tc>
        <w:tc>
          <w:tcPr>
            <w:tcW w:w="2250" w:type="dxa"/>
          </w:tcPr>
          <w:p w:rsidR="00313546" w:rsidRPr="001529D4" w:rsidRDefault="00313546" w:rsidP="00F5127E">
            <w:r w:rsidRPr="001529D4">
              <w:t>550</w:t>
            </w:r>
          </w:p>
        </w:tc>
      </w:tr>
      <w:tr w:rsidR="00313546" w:rsidRPr="001529D4" w:rsidTr="00D97487">
        <w:tc>
          <w:tcPr>
            <w:tcW w:w="4680" w:type="dxa"/>
          </w:tcPr>
          <w:p w:rsidR="00313546" w:rsidRPr="001529D4" w:rsidRDefault="00313546" w:rsidP="00F5127E">
            <w:r w:rsidRPr="001529D4">
              <w:t>Automotive topcoat:</w:t>
            </w:r>
            <w:r w:rsidRPr="001529D4">
              <w:tab/>
            </w:r>
          </w:p>
        </w:tc>
        <w:tc>
          <w:tcPr>
            <w:tcW w:w="2250" w:type="dxa"/>
          </w:tcPr>
          <w:p w:rsidR="00313546" w:rsidRPr="001529D4" w:rsidRDefault="00313546" w:rsidP="00F5127E">
            <w:r w:rsidRPr="001529D4">
              <w:t> </w:t>
            </w:r>
          </w:p>
        </w:tc>
        <w:tc>
          <w:tcPr>
            <w:tcW w:w="2250" w:type="dxa"/>
          </w:tcPr>
          <w:p w:rsidR="00313546" w:rsidRPr="001529D4" w:rsidRDefault="00313546" w:rsidP="00F5127E">
            <w:r w:rsidRPr="001529D4">
              <w:t> </w:t>
            </w:r>
          </w:p>
        </w:tc>
      </w:tr>
      <w:tr w:rsidR="00313546" w:rsidRPr="001529D4" w:rsidTr="00D97487">
        <w:tc>
          <w:tcPr>
            <w:tcW w:w="4680" w:type="dxa"/>
          </w:tcPr>
          <w:p w:rsidR="00313546" w:rsidRPr="001529D4" w:rsidRDefault="00313546" w:rsidP="00F5127E">
            <w:pPr>
              <w:ind w:left="720"/>
            </w:pPr>
            <w:r w:rsidRPr="001529D4">
              <w:t>single stage-topcoat</w:t>
            </w:r>
          </w:p>
        </w:tc>
        <w:tc>
          <w:tcPr>
            <w:tcW w:w="2250" w:type="dxa"/>
          </w:tcPr>
          <w:p w:rsidR="00313546" w:rsidRPr="001529D4" w:rsidRDefault="00313546" w:rsidP="00F5127E">
            <w:r w:rsidRPr="001529D4">
              <w:t>5.0</w:t>
            </w:r>
          </w:p>
        </w:tc>
        <w:tc>
          <w:tcPr>
            <w:tcW w:w="2250" w:type="dxa"/>
          </w:tcPr>
          <w:p w:rsidR="00313546" w:rsidRPr="001529D4" w:rsidRDefault="00313546" w:rsidP="00F5127E">
            <w:r w:rsidRPr="001529D4">
              <w:t>600</w:t>
            </w:r>
          </w:p>
        </w:tc>
      </w:tr>
      <w:tr w:rsidR="00313546" w:rsidRPr="001529D4" w:rsidTr="00D97487">
        <w:tc>
          <w:tcPr>
            <w:tcW w:w="4680" w:type="dxa"/>
          </w:tcPr>
          <w:p w:rsidR="00313546" w:rsidRPr="001529D4" w:rsidRDefault="00313546" w:rsidP="00F5127E">
            <w:pPr>
              <w:ind w:left="720"/>
            </w:pPr>
            <w:r w:rsidRPr="001529D4">
              <w:t>2 stage basecoat/</w:t>
            </w:r>
            <w:proofErr w:type="spellStart"/>
            <w:r w:rsidRPr="001529D4">
              <w:t>clearcoat</w:t>
            </w:r>
            <w:proofErr w:type="spellEnd"/>
          </w:p>
        </w:tc>
        <w:tc>
          <w:tcPr>
            <w:tcW w:w="2250" w:type="dxa"/>
          </w:tcPr>
          <w:p w:rsidR="00313546" w:rsidRPr="001529D4" w:rsidRDefault="00313546" w:rsidP="00F5127E">
            <w:r w:rsidRPr="001529D4">
              <w:t>5.0</w:t>
            </w:r>
          </w:p>
        </w:tc>
        <w:tc>
          <w:tcPr>
            <w:tcW w:w="2250" w:type="dxa"/>
          </w:tcPr>
          <w:p w:rsidR="00313546" w:rsidRPr="001529D4" w:rsidRDefault="00313546" w:rsidP="00F5127E">
            <w:r w:rsidRPr="001529D4">
              <w:t>600</w:t>
            </w:r>
          </w:p>
        </w:tc>
      </w:tr>
      <w:tr w:rsidR="00313546" w:rsidRPr="001529D4" w:rsidTr="00D97487">
        <w:tc>
          <w:tcPr>
            <w:tcW w:w="4680" w:type="dxa"/>
          </w:tcPr>
          <w:p w:rsidR="00313546" w:rsidRPr="001529D4" w:rsidRDefault="00313546" w:rsidP="00F5127E">
            <w:pPr>
              <w:ind w:left="720"/>
            </w:pPr>
            <w:r w:rsidRPr="001529D4">
              <w:t>3 or 4-stage basecoat/</w:t>
            </w:r>
            <w:proofErr w:type="spellStart"/>
            <w:r w:rsidRPr="001529D4">
              <w:t>clearcoat</w:t>
            </w:r>
            <w:proofErr w:type="spellEnd"/>
            <w:r w:rsidRPr="001529D4">
              <w:t> </w:t>
            </w:r>
          </w:p>
        </w:tc>
        <w:tc>
          <w:tcPr>
            <w:tcW w:w="2250" w:type="dxa"/>
          </w:tcPr>
          <w:p w:rsidR="00313546" w:rsidRPr="001529D4" w:rsidRDefault="00313546" w:rsidP="00F5127E">
            <w:r w:rsidRPr="001529D4">
              <w:t>5.2</w:t>
            </w:r>
          </w:p>
        </w:tc>
        <w:tc>
          <w:tcPr>
            <w:tcW w:w="2250" w:type="dxa"/>
          </w:tcPr>
          <w:p w:rsidR="00313546" w:rsidRPr="001529D4" w:rsidRDefault="00313546" w:rsidP="00F5127E">
            <w:r w:rsidRPr="001529D4">
              <w:t>625</w:t>
            </w:r>
          </w:p>
        </w:tc>
      </w:tr>
      <w:tr w:rsidR="00313546" w:rsidRPr="001529D4" w:rsidTr="00D97487">
        <w:trPr>
          <w:trHeight w:val="260"/>
        </w:trPr>
        <w:tc>
          <w:tcPr>
            <w:tcW w:w="4680" w:type="dxa"/>
          </w:tcPr>
          <w:p w:rsidR="00313546" w:rsidRPr="001529D4" w:rsidRDefault="00313546" w:rsidP="00F5127E">
            <w:r w:rsidRPr="001529D4">
              <w:rPr>
                <w:bCs/>
              </w:rPr>
              <w:t>Automotive multi-colored topcoat</w:t>
            </w:r>
            <w:r w:rsidRPr="001529D4">
              <w:t> </w:t>
            </w:r>
          </w:p>
        </w:tc>
        <w:tc>
          <w:tcPr>
            <w:tcW w:w="2250" w:type="dxa"/>
          </w:tcPr>
          <w:p w:rsidR="00313546" w:rsidRPr="001529D4" w:rsidRDefault="00313546" w:rsidP="00F5127E">
            <w:r w:rsidRPr="001529D4">
              <w:rPr>
                <w:bCs/>
              </w:rPr>
              <w:t>5.7</w:t>
            </w:r>
          </w:p>
        </w:tc>
        <w:tc>
          <w:tcPr>
            <w:tcW w:w="2250" w:type="dxa"/>
          </w:tcPr>
          <w:p w:rsidR="00313546" w:rsidRPr="001529D4" w:rsidRDefault="00313546" w:rsidP="00F5127E">
            <w:r w:rsidRPr="001529D4">
              <w:rPr>
                <w:bCs/>
              </w:rPr>
              <w:t>680</w:t>
            </w:r>
          </w:p>
        </w:tc>
      </w:tr>
      <w:tr w:rsidR="00313546" w:rsidRPr="001529D4" w:rsidTr="00D97487">
        <w:tc>
          <w:tcPr>
            <w:tcW w:w="4680" w:type="dxa"/>
          </w:tcPr>
          <w:p w:rsidR="00313546" w:rsidRPr="001529D4" w:rsidRDefault="00313546" w:rsidP="00F5127E">
            <w:r w:rsidRPr="001529D4">
              <w:t>Automotive specialty coating</w:t>
            </w:r>
          </w:p>
        </w:tc>
        <w:tc>
          <w:tcPr>
            <w:tcW w:w="2250" w:type="dxa"/>
          </w:tcPr>
          <w:p w:rsidR="00313546" w:rsidRPr="001529D4" w:rsidRDefault="00313546" w:rsidP="00F5127E">
            <w:r w:rsidRPr="001529D4">
              <w:t>7.0</w:t>
            </w:r>
          </w:p>
        </w:tc>
        <w:tc>
          <w:tcPr>
            <w:tcW w:w="2250" w:type="dxa"/>
          </w:tcPr>
          <w:p w:rsidR="00313546" w:rsidRPr="001529D4" w:rsidRDefault="00313546" w:rsidP="00F5127E">
            <w:r w:rsidRPr="001529D4">
              <w:t>840</w:t>
            </w:r>
          </w:p>
        </w:tc>
      </w:tr>
    </w:tbl>
    <w:p w:rsidR="00313546" w:rsidRDefault="00313546" w:rsidP="00D97487">
      <w:pPr>
        <w:pStyle w:val="Signature"/>
        <w:tabs>
          <w:tab w:val="num" w:pos="720"/>
        </w:tabs>
        <w:ind w:left="720"/>
      </w:pPr>
      <w:r>
        <w:t>*</w:t>
      </w:r>
      <w:r>
        <w:rPr>
          <w:sz w:val="20"/>
          <w:szCs w:val="20"/>
        </w:rPr>
        <w:t>Weight of VOC per volume of c</w:t>
      </w:r>
      <w:r w:rsidRPr="00D2102A">
        <w:rPr>
          <w:sz w:val="20"/>
          <w:szCs w:val="20"/>
        </w:rPr>
        <w:t>oating (minus water and non-VOC solvents)</w:t>
      </w:r>
    </w:p>
    <w:p w:rsidR="00313546" w:rsidRDefault="00313546" w:rsidP="00313546">
      <w:pPr>
        <w:pStyle w:val="Signature"/>
        <w:tabs>
          <w:tab w:val="num" w:pos="720"/>
        </w:tabs>
        <w:ind w:left="720" w:hanging="360"/>
      </w:pPr>
    </w:p>
    <w:p w:rsidR="00313546" w:rsidRDefault="00313546" w:rsidP="00313546">
      <w:pPr>
        <w:pStyle w:val="Signature"/>
        <w:ind w:left="720" w:hanging="360"/>
      </w:pPr>
      <w:r>
        <w:lastRenderedPageBreak/>
        <w:t>c.</w:t>
      </w:r>
      <w:r>
        <w:tab/>
        <w:t xml:space="preserve">An emission into the atmosphere of odorous or other </w:t>
      </w:r>
      <w:r w:rsidRPr="006243B7">
        <w:t>air pollutants from any source in any</w:t>
      </w:r>
      <w:r>
        <w:t xml:space="preserve"> </w:t>
      </w:r>
      <w:r w:rsidRPr="006243B7">
        <w:t>quantity and of any characteristic, and duration which is, or is likely to be injurious to the public health or welfare, or which interferes with the reasonable enjoyment of</w:t>
      </w:r>
      <w:r>
        <w:t xml:space="preserve"> life or property is </w:t>
      </w:r>
      <w:r w:rsidRPr="0061745B">
        <w:t>prohibited [20 DCMR 903.1]</w:t>
      </w:r>
    </w:p>
    <w:p w:rsidR="00313546" w:rsidRDefault="00313546" w:rsidP="00313546">
      <w:pPr>
        <w:pStyle w:val="Signature"/>
        <w:ind w:left="720" w:hanging="360"/>
      </w:pPr>
    </w:p>
    <w:p w:rsidR="00313546" w:rsidRDefault="00313546" w:rsidP="00313546">
      <w:pPr>
        <w:pStyle w:val="Signature"/>
        <w:ind w:left="720" w:hanging="360"/>
      </w:pPr>
      <w:r>
        <w:t>d.</w:t>
      </w:r>
      <w:r>
        <w:tab/>
        <w:t>Visible emissions shall not be emitted into the outdoor atmosphere from the paint booth. [20 DCMR 606 and 903.1]</w:t>
      </w:r>
    </w:p>
    <w:p w:rsidR="00313546" w:rsidRDefault="00313546" w:rsidP="00313546">
      <w:pPr>
        <w:pStyle w:val="Signature"/>
        <w:tabs>
          <w:tab w:val="num" w:pos="720"/>
        </w:tabs>
        <w:ind w:left="720" w:hanging="360"/>
      </w:pPr>
    </w:p>
    <w:p w:rsidR="00313546" w:rsidRDefault="00313546" w:rsidP="00313546">
      <w:pPr>
        <w:pStyle w:val="Signature"/>
        <w:tabs>
          <w:tab w:val="num" w:pos="360"/>
        </w:tabs>
        <w:ind w:left="360" w:hanging="360"/>
      </w:pPr>
      <w:r>
        <w:t>III.</w:t>
      </w:r>
      <w:r>
        <w:tab/>
      </w:r>
      <w:r>
        <w:rPr>
          <w:u w:val="single"/>
        </w:rPr>
        <w:t>Operational Limits and Standards</w:t>
      </w:r>
      <w:r>
        <w:t>:</w:t>
      </w:r>
    </w:p>
    <w:p w:rsidR="00313546" w:rsidRDefault="00313546" w:rsidP="00313546">
      <w:pPr>
        <w:pStyle w:val="Signature"/>
        <w:tabs>
          <w:tab w:val="num" w:pos="360"/>
        </w:tabs>
        <w:ind w:left="360" w:hanging="360"/>
      </w:pPr>
    </w:p>
    <w:p w:rsidR="00313546" w:rsidRDefault="00313546" w:rsidP="00313546">
      <w:pPr>
        <w:pStyle w:val="Signature"/>
        <w:ind w:left="720" w:hanging="360"/>
      </w:pPr>
      <w:r>
        <w:t>a.</w:t>
      </w:r>
      <w:r>
        <w:tab/>
        <w:t>The use of a conventional spray gun is prohibited.  Only High Volume Low Pressure (HVLP) spray guns or equivalent or better types shall be allowed. Other application methods deemed acceptable can be found in 20 DCMR 718.5.  [20 DCMR 718.5 and 40 CFR 63.11173(e</w:t>
      </w:r>
      <w:proofErr w:type="gramStart"/>
      <w:r>
        <w:t>)(</w:t>
      </w:r>
      <w:proofErr w:type="gramEnd"/>
      <w:r>
        <w:t>3)]</w:t>
      </w:r>
    </w:p>
    <w:p w:rsidR="00313546" w:rsidRDefault="00313546" w:rsidP="00313546">
      <w:pPr>
        <w:pStyle w:val="Signature"/>
        <w:ind w:left="720" w:hanging="360"/>
      </w:pPr>
    </w:p>
    <w:p w:rsidR="00313546" w:rsidRDefault="00313546" w:rsidP="00313546">
      <w:pPr>
        <w:pStyle w:val="Signature"/>
        <w:ind w:left="720" w:hanging="360"/>
      </w:pPr>
      <w:r>
        <w:t>b.</w:t>
      </w:r>
      <w:r>
        <w:tab/>
        <w:t>The exhaust stack shall have a minimum height of 15 feet and at least 5 feet above the roof level.</w:t>
      </w:r>
    </w:p>
    <w:p w:rsidR="00313546" w:rsidRDefault="00313546" w:rsidP="00313546">
      <w:pPr>
        <w:pStyle w:val="Signature"/>
        <w:ind w:left="720" w:hanging="360"/>
      </w:pPr>
    </w:p>
    <w:p w:rsidR="00DE06DE" w:rsidRDefault="00313546" w:rsidP="00DE06DE">
      <w:pPr>
        <w:pStyle w:val="Signature"/>
        <w:tabs>
          <w:tab w:val="left" w:pos="720"/>
        </w:tabs>
        <w:ind w:left="720" w:hanging="360"/>
      </w:pPr>
      <w:proofErr w:type="gramStart"/>
      <w:r>
        <w:t>c</w:t>
      </w:r>
      <w:proofErr w:type="gramEnd"/>
      <w:r>
        <w:t>.</w:t>
      </w:r>
      <w:r>
        <w:tab/>
      </w:r>
      <w:r w:rsidR="00DE06DE">
        <w:t>Cleaning of tools and spray guns shall be performed  by any of the following procedures [20 DCMR 718.7 and 40 CFR 63.11173(e)(4)]:</w:t>
      </w:r>
    </w:p>
    <w:p w:rsidR="00DE06DE" w:rsidRDefault="00DE06DE" w:rsidP="00DE06DE">
      <w:pPr>
        <w:pStyle w:val="Signature"/>
        <w:tabs>
          <w:tab w:val="left" w:pos="720"/>
        </w:tabs>
        <w:ind w:left="720" w:hanging="360"/>
      </w:pPr>
    </w:p>
    <w:p w:rsidR="00DE06DE" w:rsidRDefault="00DE06DE" w:rsidP="00DE06DE">
      <w:pPr>
        <w:pStyle w:val="Signature"/>
        <w:tabs>
          <w:tab w:val="left" w:pos="1080"/>
        </w:tabs>
        <w:ind w:left="1080" w:hanging="360"/>
      </w:pPr>
      <w:r>
        <w:t>1.</w:t>
      </w:r>
      <w:r>
        <w:tab/>
        <w:t>Use of an enclosed spray gun cleaning system that is kept closed when not in use;</w:t>
      </w:r>
    </w:p>
    <w:p w:rsidR="00DE06DE" w:rsidRDefault="00DE06DE" w:rsidP="00DE06DE">
      <w:pPr>
        <w:pStyle w:val="Signature"/>
        <w:tabs>
          <w:tab w:val="left" w:pos="1080"/>
        </w:tabs>
        <w:ind w:left="1080" w:hanging="360"/>
      </w:pPr>
    </w:p>
    <w:p w:rsidR="00DE06DE" w:rsidRDefault="00DE06DE" w:rsidP="00DE06DE">
      <w:pPr>
        <w:pStyle w:val="Signature"/>
        <w:tabs>
          <w:tab w:val="left" w:pos="1080"/>
        </w:tabs>
        <w:ind w:left="1080" w:hanging="360"/>
      </w:pPr>
      <w:r>
        <w:t>2.</w:t>
      </w:r>
      <w:r>
        <w:tab/>
        <w:t xml:space="preserve">Use of an </w:t>
      </w:r>
      <w:proofErr w:type="spellStart"/>
      <w:r>
        <w:t>unatomized</w:t>
      </w:r>
      <w:proofErr w:type="spellEnd"/>
      <w:r>
        <w:t xml:space="preserve"> discharge of solvent into a paint waste container that is kept closed when not in use;</w:t>
      </w:r>
    </w:p>
    <w:p w:rsidR="00DE06DE" w:rsidRDefault="00DE06DE" w:rsidP="00DE06DE">
      <w:pPr>
        <w:pStyle w:val="Signature"/>
        <w:tabs>
          <w:tab w:val="left" w:pos="1080"/>
        </w:tabs>
        <w:ind w:left="1080" w:hanging="360"/>
      </w:pPr>
    </w:p>
    <w:p w:rsidR="00DE06DE" w:rsidRDefault="00DE06DE" w:rsidP="00DE06DE">
      <w:pPr>
        <w:pStyle w:val="Signature"/>
        <w:tabs>
          <w:tab w:val="left" w:pos="1080"/>
        </w:tabs>
        <w:ind w:left="1080" w:hanging="360"/>
      </w:pPr>
      <w:r>
        <w:t>3.</w:t>
      </w:r>
      <w:r>
        <w:tab/>
        <w:t>Disassembly of the spray gun and cleaning in a vat that is kept closed when not in use; or</w:t>
      </w:r>
    </w:p>
    <w:p w:rsidR="00DE06DE" w:rsidRDefault="00DE06DE" w:rsidP="00DE06DE">
      <w:pPr>
        <w:pStyle w:val="Signature"/>
        <w:tabs>
          <w:tab w:val="left" w:pos="1080"/>
        </w:tabs>
        <w:ind w:left="1080" w:hanging="360"/>
      </w:pPr>
    </w:p>
    <w:p w:rsidR="00DE06DE" w:rsidRDefault="00DE06DE" w:rsidP="00DE06DE">
      <w:pPr>
        <w:pStyle w:val="Signature"/>
        <w:tabs>
          <w:tab w:val="left" w:pos="1080"/>
        </w:tabs>
        <w:ind w:left="1080" w:hanging="360"/>
      </w:pPr>
      <w:r>
        <w:t>4.</w:t>
      </w:r>
      <w:r>
        <w:tab/>
        <w:t>Use of an atomized spray into a paint waste container that is fitted with a device designed to capture atomized solvent emissions.</w:t>
      </w:r>
    </w:p>
    <w:p w:rsidR="00313546" w:rsidRDefault="00313546" w:rsidP="00313546">
      <w:pPr>
        <w:pStyle w:val="Signature"/>
        <w:tabs>
          <w:tab w:val="left" w:pos="720"/>
        </w:tabs>
        <w:ind w:left="720" w:hanging="360"/>
      </w:pPr>
    </w:p>
    <w:p w:rsidR="00313546" w:rsidRDefault="00313546" w:rsidP="00313546">
      <w:pPr>
        <w:pStyle w:val="Signature"/>
        <w:tabs>
          <w:tab w:val="left" w:pos="720"/>
        </w:tabs>
        <w:ind w:left="720" w:hanging="360"/>
      </w:pPr>
      <w:r>
        <w:t>d.</w:t>
      </w:r>
      <w:r>
        <w:tab/>
        <w:t>The paint spray booth shall meet the following specifications:</w:t>
      </w:r>
    </w:p>
    <w:p w:rsidR="00313546" w:rsidRDefault="00313546" w:rsidP="00313546">
      <w:pPr>
        <w:pStyle w:val="Signature"/>
        <w:tabs>
          <w:tab w:val="left" w:pos="720"/>
        </w:tabs>
        <w:ind w:left="720" w:hanging="360"/>
      </w:pPr>
    </w:p>
    <w:p w:rsidR="00313546" w:rsidRDefault="00313546" w:rsidP="00313546">
      <w:pPr>
        <w:pStyle w:val="Signature"/>
        <w:tabs>
          <w:tab w:val="left" w:pos="1080"/>
        </w:tabs>
        <w:ind w:left="1080" w:hanging="360"/>
      </w:pPr>
      <w:r>
        <w:t>1.</w:t>
      </w:r>
      <w:r>
        <w:tab/>
        <w:t>The unit shall be fitted with a type of filter technology that is demonstrated to achieve at least 98-percent capture of paint overspray. [40 CFR 63.11173 (e</w:t>
      </w:r>
      <w:proofErr w:type="gramStart"/>
      <w:r>
        <w:t>)(</w:t>
      </w:r>
      <w:proofErr w:type="gramEnd"/>
      <w:r>
        <w:t>2)(</w:t>
      </w:r>
      <w:proofErr w:type="spellStart"/>
      <w:r>
        <w:t>i</w:t>
      </w:r>
      <w:proofErr w:type="spellEnd"/>
      <w:r>
        <w:t>)]</w:t>
      </w:r>
    </w:p>
    <w:p w:rsidR="00313546" w:rsidRDefault="00313546" w:rsidP="00313546">
      <w:pPr>
        <w:pStyle w:val="Signature"/>
        <w:tabs>
          <w:tab w:val="left" w:pos="1080"/>
        </w:tabs>
        <w:ind w:left="1080" w:hanging="360"/>
      </w:pPr>
    </w:p>
    <w:p w:rsidR="00313546" w:rsidRDefault="00313546" w:rsidP="00313546">
      <w:pPr>
        <w:pStyle w:val="Signature"/>
        <w:tabs>
          <w:tab w:val="left" w:pos="1080"/>
        </w:tabs>
        <w:ind w:left="1080" w:hanging="360"/>
      </w:pPr>
      <w:r>
        <w:t>2.</w:t>
      </w:r>
      <w:r>
        <w:tab/>
        <w:t xml:space="preserve">The </w:t>
      </w:r>
      <w:r w:rsidR="00DE06DE">
        <w:t xml:space="preserve">particulate matter </w:t>
      </w:r>
      <w:r>
        <w:t xml:space="preserve">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Pr="008426E1">
        <w:rPr>
          <w:bCs/>
        </w:rPr>
        <w:t>.</w:t>
      </w:r>
    </w:p>
    <w:p w:rsidR="00313546" w:rsidRDefault="00313546" w:rsidP="00313546">
      <w:pPr>
        <w:pStyle w:val="Signature"/>
        <w:tabs>
          <w:tab w:val="left" w:pos="1080"/>
        </w:tabs>
        <w:ind w:left="1080" w:hanging="360"/>
      </w:pPr>
    </w:p>
    <w:p w:rsidR="00313546" w:rsidRPr="002814D1" w:rsidRDefault="00313546" w:rsidP="00313546">
      <w:pPr>
        <w:pStyle w:val="Signature"/>
        <w:tabs>
          <w:tab w:val="left" w:pos="1080"/>
        </w:tabs>
        <w:ind w:left="1080" w:hanging="360"/>
      </w:pPr>
      <w:r>
        <w:lastRenderedPageBreak/>
        <w:t>3.</w:t>
      </w:r>
      <w:r>
        <w:tab/>
        <w:t>The unit shall be fully enclosed with a full roof and four complete walls and must be ventilated at negative pressure so that air is drawn into any openings in the booth walls. [40 CFR 63.11173(e</w:t>
      </w:r>
      <w:proofErr w:type="gramStart"/>
      <w:r>
        <w:t>)(</w:t>
      </w:r>
      <w:proofErr w:type="gramEnd"/>
      <w:r>
        <w:t>2)(ii)]</w:t>
      </w:r>
    </w:p>
    <w:p w:rsidR="00313546" w:rsidRDefault="00313546" w:rsidP="00313546">
      <w:pPr>
        <w:pStyle w:val="Signature"/>
        <w:tabs>
          <w:tab w:val="left" w:pos="1080"/>
        </w:tabs>
        <w:ind w:left="1080" w:hanging="360"/>
      </w:pPr>
    </w:p>
    <w:p w:rsidR="00313546" w:rsidRDefault="00313546" w:rsidP="00313546">
      <w:pPr>
        <w:pStyle w:val="Signature"/>
        <w:tabs>
          <w:tab w:val="left" w:pos="1080"/>
        </w:tabs>
        <w:ind w:left="1080" w:hanging="360"/>
      </w:pPr>
      <w:r>
        <w:t>4.</w:t>
      </w:r>
      <w:r>
        <w:tab/>
        <w:t>The unit shall be maintained and operated at all time in accordance with manufacturer’s recommendations.</w:t>
      </w:r>
    </w:p>
    <w:p w:rsidR="00313546" w:rsidRDefault="00313546" w:rsidP="00313546">
      <w:pPr>
        <w:pStyle w:val="Signature"/>
        <w:tabs>
          <w:tab w:val="left" w:pos="720"/>
        </w:tabs>
        <w:ind w:left="720" w:hanging="360"/>
      </w:pPr>
    </w:p>
    <w:p w:rsidR="00313546" w:rsidRPr="000D0EC5" w:rsidRDefault="00313546" w:rsidP="00313546">
      <w:pPr>
        <w:pStyle w:val="BodyTextIndent"/>
        <w:tabs>
          <w:tab w:val="left" w:pos="720"/>
          <w:tab w:val="left" w:pos="810"/>
        </w:tabs>
        <w:spacing w:after="0"/>
        <w:ind w:left="720" w:hanging="360"/>
        <w:rPr>
          <w:sz w:val="24"/>
          <w:szCs w:val="24"/>
        </w:rPr>
      </w:pPr>
      <w:r w:rsidRPr="007110F4">
        <w:rPr>
          <w:sz w:val="24"/>
          <w:szCs w:val="24"/>
        </w:rPr>
        <w:t>e.</w:t>
      </w:r>
      <w:r w:rsidRPr="007110F4">
        <w:rPr>
          <w:sz w:val="24"/>
          <w:szCs w:val="24"/>
        </w:rPr>
        <w:tab/>
      </w:r>
      <w:r w:rsidRPr="000D0EC5">
        <w:rPr>
          <w:sz w:val="24"/>
          <w:szCs w:val="24"/>
        </w:rPr>
        <w:t xml:space="preserve">The owner and operator of this facility shall comply </w:t>
      </w:r>
      <w:r>
        <w:rPr>
          <w:sz w:val="24"/>
          <w:szCs w:val="24"/>
        </w:rPr>
        <w:t xml:space="preserve">with the following housekeeping and </w:t>
      </w:r>
      <w:r w:rsidRPr="000D0EC5">
        <w:rPr>
          <w:sz w:val="24"/>
          <w:szCs w:val="24"/>
        </w:rPr>
        <w:t>pollution prevention measures:</w:t>
      </w:r>
    </w:p>
    <w:p w:rsidR="00313546" w:rsidRPr="000D0EC5" w:rsidRDefault="00313546" w:rsidP="00313546">
      <w:pPr>
        <w:ind w:left="720" w:hanging="360"/>
      </w:pPr>
      <w:r w:rsidRPr="000D0EC5">
        <w:t> </w:t>
      </w:r>
    </w:p>
    <w:p w:rsidR="00313546" w:rsidRDefault="00313546" w:rsidP="00313546">
      <w:pPr>
        <w:tabs>
          <w:tab w:val="left" w:pos="1620"/>
        </w:tabs>
        <w:ind w:left="1080" w:hanging="360"/>
      </w:pPr>
      <w:r>
        <w:t>1</w:t>
      </w:r>
      <w:r w:rsidRPr="000D0EC5">
        <w:t>.</w:t>
      </w:r>
      <w:r w:rsidRPr="000D0EC5">
        <w:tab/>
        <w:t>Store fresh and used coatings, solvent, and cleaning solvents in non</w:t>
      </w:r>
      <w:r>
        <w:t>-</w:t>
      </w:r>
      <w:r w:rsidRPr="000D0EC5">
        <w:t>absorbent, non</w:t>
      </w:r>
      <w:r>
        <w:t>-</w:t>
      </w:r>
      <w:r w:rsidRPr="000D0EC5">
        <w:t>leaking containers</w:t>
      </w:r>
      <w:r w:rsidR="00DE06DE">
        <w:t xml:space="preserve"> </w:t>
      </w:r>
      <w:r w:rsidR="00DE06DE">
        <w:t>[20 DCMR 718.8]</w:t>
      </w:r>
      <w:r w:rsidRPr="000D0EC5">
        <w:t>;</w:t>
      </w:r>
    </w:p>
    <w:p w:rsidR="00313546" w:rsidRPr="000D0EC5" w:rsidRDefault="00313546" w:rsidP="00313546">
      <w:pPr>
        <w:tabs>
          <w:tab w:val="left" w:pos="1620"/>
        </w:tabs>
        <w:ind w:left="1080" w:hanging="360"/>
      </w:pPr>
    </w:p>
    <w:p w:rsidR="00313546" w:rsidRPr="000D0EC5" w:rsidRDefault="00313546" w:rsidP="00313546">
      <w:pPr>
        <w:tabs>
          <w:tab w:val="left" w:pos="2160"/>
        </w:tabs>
        <w:ind w:left="1080" w:hanging="360"/>
      </w:pPr>
      <w:r>
        <w:t>2</w:t>
      </w:r>
      <w:r w:rsidRPr="000D0EC5">
        <w:t>.</w:t>
      </w:r>
      <w:r w:rsidRPr="000D0EC5">
        <w:tab/>
        <w:t>Close all repairing and refinishing coating containers at all times except when filling or emptying</w:t>
      </w:r>
      <w:r w:rsidR="00DE06DE">
        <w:t xml:space="preserve"> </w:t>
      </w:r>
      <w:r w:rsidR="00DE06DE">
        <w:t>[20 DCMR 718.8]</w:t>
      </w:r>
      <w:r w:rsidR="00DE06DE" w:rsidRPr="000D0EC5">
        <w:t>;</w:t>
      </w:r>
    </w:p>
    <w:p w:rsidR="00313546" w:rsidRPr="000D0EC5" w:rsidRDefault="00313546" w:rsidP="00313546">
      <w:pPr>
        <w:tabs>
          <w:tab w:val="left" w:pos="2160"/>
        </w:tabs>
        <w:ind w:left="1080" w:hanging="360"/>
      </w:pPr>
    </w:p>
    <w:p w:rsidR="00313546" w:rsidRPr="000D0EC5" w:rsidRDefault="00313546" w:rsidP="00313546">
      <w:pPr>
        <w:ind w:left="1080" w:hanging="360"/>
      </w:pPr>
      <w:r>
        <w:t>3</w:t>
      </w:r>
      <w:r w:rsidRPr="000D0EC5">
        <w:t>.</w:t>
      </w:r>
      <w:r w:rsidRPr="000D0EC5">
        <w:tab/>
        <w:t>Store cloth and paper, or other absorbent applicators, moistened with coatings, solvents, or cleaning solvents in closed, non</w:t>
      </w:r>
      <w:r>
        <w:t>-</w:t>
      </w:r>
      <w:r w:rsidRPr="000D0EC5">
        <w:t>absorbent, non</w:t>
      </w:r>
      <w:r>
        <w:t>-</w:t>
      </w:r>
      <w:r w:rsidRPr="000D0EC5">
        <w:t>leaking containers</w:t>
      </w:r>
      <w:r w:rsidR="009B08E6">
        <w:t xml:space="preserve"> </w:t>
      </w:r>
      <w:r w:rsidR="00DE06DE">
        <w:t>[20 DCMR 718.8]</w:t>
      </w:r>
      <w:r w:rsidR="00DE06DE" w:rsidRPr="000D0EC5">
        <w:t>;</w:t>
      </w:r>
    </w:p>
    <w:p w:rsidR="00313546" w:rsidRPr="000D0EC5" w:rsidRDefault="00313546" w:rsidP="00313546">
      <w:pPr>
        <w:tabs>
          <w:tab w:val="num" w:pos="720"/>
        </w:tabs>
        <w:ind w:left="1080" w:hanging="360"/>
      </w:pPr>
    </w:p>
    <w:p w:rsidR="00313546" w:rsidRPr="00FC33B1" w:rsidRDefault="00313546" w:rsidP="00313546">
      <w:pPr>
        <w:ind w:left="1080" w:hanging="360"/>
      </w:pPr>
      <w:r w:rsidRPr="00FC33B1">
        <w:t>4.</w:t>
      </w:r>
      <w:r w:rsidRPr="00FC33B1">
        <w:tab/>
        <w:t>Minimize spills during the handling and transfer of coatings, solvents, and cleaning solvents</w:t>
      </w:r>
      <w:r w:rsidR="009B08E6">
        <w:t xml:space="preserve"> </w:t>
      </w:r>
      <w:r w:rsidR="009B08E6">
        <w:t>[20 DCMR 718.8]</w:t>
      </w:r>
      <w:r w:rsidR="009B08E6" w:rsidRPr="000D0EC5">
        <w:t>;</w:t>
      </w:r>
      <w:r w:rsidR="009B08E6">
        <w:t xml:space="preserve"> and</w:t>
      </w:r>
    </w:p>
    <w:p w:rsidR="009B08E6" w:rsidRDefault="009B08E6" w:rsidP="00313546">
      <w:pPr>
        <w:pStyle w:val="Signature"/>
        <w:tabs>
          <w:tab w:val="left" w:pos="720"/>
        </w:tabs>
        <w:ind w:left="720" w:hanging="360"/>
      </w:pPr>
    </w:p>
    <w:p w:rsidR="009B08E6" w:rsidRDefault="009B08E6" w:rsidP="009B08E6">
      <w:pPr>
        <w:ind w:left="1080" w:hanging="360"/>
      </w:pPr>
      <w:r>
        <w:t>5.</w:t>
      </w:r>
      <w:r>
        <w:tab/>
        <w:t>As necessary to ensure compliance with the odor requirements of Condition II(c), the owner or operator shall implement additional work practices such as: [20 DCMR 201]</w:t>
      </w:r>
    </w:p>
    <w:p w:rsidR="009B08E6" w:rsidRDefault="009B08E6" w:rsidP="009B08E6">
      <w:pPr>
        <w:ind w:left="1080" w:hanging="360"/>
      </w:pPr>
    </w:p>
    <w:p w:rsidR="009B08E6" w:rsidRDefault="009B08E6" w:rsidP="009B08E6">
      <w:pPr>
        <w:ind w:left="1440" w:hanging="360"/>
      </w:pPr>
      <w:proofErr w:type="spellStart"/>
      <w:r>
        <w:t>i</w:t>
      </w:r>
      <w:proofErr w:type="spellEnd"/>
      <w:r>
        <w:t>.</w:t>
      </w:r>
      <w:r>
        <w:tab/>
        <w:t xml:space="preserve">Using paints and coatings with VOC contents below those required in Condition </w:t>
      </w:r>
      <w:proofErr w:type="gramStart"/>
      <w:r>
        <w:t>II(</w:t>
      </w:r>
      <w:proofErr w:type="gramEnd"/>
      <w:r>
        <w:t>b);</w:t>
      </w:r>
    </w:p>
    <w:p w:rsidR="009B08E6" w:rsidRDefault="009B08E6" w:rsidP="009B08E6">
      <w:pPr>
        <w:ind w:left="1440" w:hanging="360"/>
      </w:pPr>
    </w:p>
    <w:p w:rsidR="009B08E6" w:rsidRDefault="009B08E6" w:rsidP="009B08E6">
      <w:pPr>
        <w:ind w:left="1440" w:hanging="360"/>
      </w:pPr>
      <w:r>
        <w:t>ii.</w:t>
      </w:r>
      <w:r>
        <w:tab/>
        <w:t xml:space="preserve">Increasing carbon filter change-out rates; and </w:t>
      </w:r>
    </w:p>
    <w:p w:rsidR="009B08E6" w:rsidRDefault="009B08E6" w:rsidP="009B08E6">
      <w:pPr>
        <w:ind w:left="1440" w:hanging="360"/>
      </w:pPr>
    </w:p>
    <w:p w:rsidR="009B08E6" w:rsidRDefault="009B08E6" w:rsidP="009B08E6">
      <w:pPr>
        <w:ind w:left="1440" w:hanging="360"/>
      </w:pPr>
      <w:r>
        <w:t>iii</w:t>
      </w:r>
      <w:r w:rsidRPr="00FC33B1">
        <w:t>.</w:t>
      </w:r>
      <w:r>
        <w:tab/>
        <w:t xml:space="preserve">Upgrading spray guns [consistent with the requirements of Condition </w:t>
      </w:r>
      <w:proofErr w:type="gramStart"/>
      <w:r>
        <w:t>III(</w:t>
      </w:r>
      <w:proofErr w:type="gramEnd"/>
      <w:r>
        <w:t>a)] to minimize overspray.</w:t>
      </w:r>
    </w:p>
    <w:p w:rsidR="009B08E6" w:rsidRDefault="009B08E6" w:rsidP="009B08E6">
      <w:pPr>
        <w:ind w:left="1440" w:hanging="360"/>
      </w:pPr>
    </w:p>
    <w:p w:rsidR="009B08E6" w:rsidRPr="00BA08FF" w:rsidRDefault="009B08E6" w:rsidP="009B08E6">
      <w:pPr>
        <w:ind w:left="1080"/>
      </w:pPr>
      <w:r>
        <w:t xml:space="preserve">The </w:t>
      </w:r>
      <w:proofErr w:type="spellStart"/>
      <w:r>
        <w:t>Permittee</w:t>
      </w:r>
      <w:proofErr w:type="spellEnd"/>
      <w:r>
        <w:t xml:space="preserve"> shall ensure that any such additional work practices do not constitute a “modification” of the source or “modification” of any air pollution control device as defined in 20 DCMR 199.  If the </w:t>
      </w:r>
      <w:proofErr w:type="spellStart"/>
      <w:r>
        <w:t>Permittee</w:t>
      </w:r>
      <w:proofErr w:type="spellEnd"/>
      <w:r>
        <w:t xml:space="preserve"> has questions about a particular work practice and whether it will constitute such a modification, the </w:t>
      </w:r>
      <w:proofErr w:type="spellStart"/>
      <w:r>
        <w:t>Permittee</w:t>
      </w:r>
      <w:proofErr w:type="spellEnd"/>
      <w:r>
        <w:t xml:space="preserve"> is encouraged to consult with the Department.</w:t>
      </w:r>
    </w:p>
    <w:p w:rsidR="009B08E6" w:rsidRDefault="009B08E6" w:rsidP="00313546">
      <w:pPr>
        <w:pStyle w:val="Signature"/>
        <w:tabs>
          <w:tab w:val="left" w:pos="720"/>
        </w:tabs>
        <w:ind w:left="720" w:hanging="360"/>
      </w:pPr>
    </w:p>
    <w:p w:rsidR="00313546" w:rsidRDefault="00313546" w:rsidP="00313546">
      <w:pPr>
        <w:pStyle w:val="Signature"/>
        <w:tabs>
          <w:tab w:val="left" w:pos="720"/>
        </w:tabs>
        <w:ind w:left="720" w:hanging="360"/>
      </w:pPr>
      <w:r>
        <w:t>f.</w:t>
      </w:r>
      <w:r>
        <w:tab/>
        <w:t>The owner and operator of this facility shall comply with the following training measures:</w:t>
      </w:r>
    </w:p>
    <w:p w:rsidR="00313546" w:rsidRDefault="00313546" w:rsidP="00313546">
      <w:pPr>
        <w:pStyle w:val="Signature"/>
        <w:tabs>
          <w:tab w:val="left" w:pos="720"/>
        </w:tabs>
        <w:ind w:left="720" w:hanging="360"/>
      </w:pPr>
    </w:p>
    <w:p w:rsidR="00313546" w:rsidRDefault="00313546" w:rsidP="00313546">
      <w:pPr>
        <w:pStyle w:val="Signature"/>
        <w:tabs>
          <w:tab w:val="left" w:pos="1080"/>
        </w:tabs>
        <w:ind w:left="1080" w:hanging="360"/>
      </w:pPr>
      <w:r>
        <w:lastRenderedPageBreak/>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products</w:t>
      </w:r>
      <w:r>
        <w:t xml:space="preserve"> [20 DCMR 718.8(e)]</w:t>
      </w:r>
      <w:r w:rsidRPr="000D0EC5">
        <w:t>.</w:t>
      </w:r>
    </w:p>
    <w:p w:rsidR="00313546" w:rsidRDefault="00313546" w:rsidP="00313546">
      <w:pPr>
        <w:pStyle w:val="Signature"/>
        <w:tabs>
          <w:tab w:val="left" w:pos="1080"/>
        </w:tabs>
        <w:ind w:left="1080" w:hanging="360"/>
      </w:pPr>
    </w:p>
    <w:p w:rsidR="00313546" w:rsidRDefault="00313546" w:rsidP="00313546">
      <w:pPr>
        <w:pStyle w:val="Signature"/>
        <w:tabs>
          <w:tab w:val="left" w:pos="1080"/>
        </w:tabs>
        <w:ind w:left="1080" w:hanging="360"/>
      </w:pPr>
      <w:r>
        <w:t>2.</w:t>
      </w:r>
      <w:r>
        <w:tab/>
        <w:t xml:space="preserve">All painters must be certified that they have completed training in the proper spray application of surface coatings and the proper setup and maintenance of spray equipment.  The minimum requirements for such training and certification are described in Condition </w:t>
      </w:r>
      <w:proofErr w:type="gramStart"/>
      <w:r>
        <w:t>III(</w:t>
      </w:r>
      <w:proofErr w:type="gramEnd"/>
      <w:r>
        <w:t>f)(3)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w:t>
      </w:r>
      <w:proofErr w:type="gramStart"/>
      <w:r>
        <w:t>)(</w:t>
      </w:r>
      <w:proofErr w:type="gramEnd"/>
      <w:r>
        <w:t>1)]</w:t>
      </w:r>
    </w:p>
    <w:p w:rsidR="00313546" w:rsidRDefault="00313546" w:rsidP="00313546">
      <w:pPr>
        <w:pStyle w:val="Signature"/>
        <w:tabs>
          <w:tab w:val="left" w:pos="1080"/>
        </w:tabs>
        <w:ind w:left="1080" w:hanging="360"/>
      </w:pPr>
    </w:p>
    <w:p w:rsidR="00313546" w:rsidRDefault="00313546" w:rsidP="00313546">
      <w:pPr>
        <w:pStyle w:val="Signature"/>
        <w:tabs>
          <w:tab w:val="left" w:pos="1080"/>
        </w:tabs>
        <w:ind w:left="1080" w:hanging="360"/>
      </w:pPr>
      <w:r>
        <w:t>3.</w:t>
      </w:r>
      <w:r>
        <w:tab/>
        <w:t>Within 180 days of their hiring date, the owner or operator must ensure and certify that all new and existing personnel, including contract personnel, who spray apply surface coatings are trained in the proper application of surface coatings as required by Condition III(f)(2) of this permit.  The training program must include, at a minimum, the following [40 CFR 63.11173(f)]:</w:t>
      </w:r>
    </w:p>
    <w:p w:rsidR="00313546" w:rsidRDefault="00313546" w:rsidP="00313546">
      <w:pPr>
        <w:pStyle w:val="Signature"/>
        <w:tabs>
          <w:tab w:val="left" w:pos="1080"/>
        </w:tabs>
        <w:ind w:left="1080" w:hanging="360"/>
      </w:pPr>
    </w:p>
    <w:p w:rsidR="00313546" w:rsidRDefault="00313546" w:rsidP="00313546">
      <w:pPr>
        <w:pStyle w:val="Signature"/>
        <w:tabs>
          <w:tab w:val="left" w:pos="1440"/>
        </w:tabs>
        <w:ind w:left="1440" w:hanging="360"/>
      </w:pPr>
      <w:r>
        <w:t>A.</w:t>
      </w:r>
      <w:r>
        <w:tab/>
        <w:t>A list of all current personnel by name and job description who are required to be trained;</w:t>
      </w:r>
    </w:p>
    <w:p w:rsidR="00313546" w:rsidRDefault="00313546" w:rsidP="00313546">
      <w:pPr>
        <w:pStyle w:val="Signature"/>
        <w:tabs>
          <w:tab w:val="left" w:pos="1440"/>
        </w:tabs>
        <w:ind w:left="1440" w:hanging="360"/>
      </w:pPr>
    </w:p>
    <w:p w:rsidR="00313546" w:rsidRDefault="00313546" w:rsidP="00313546">
      <w:pPr>
        <w:pStyle w:val="Signature"/>
        <w:tabs>
          <w:tab w:val="left" w:pos="1440"/>
        </w:tabs>
        <w:ind w:left="1440" w:hanging="360"/>
      </w:pPr>
      <w:r>
        <w:t>B.</w:t>
      </w:r>
      <w:r>
        <w:tab/>
        <w:t>Hands-on classroom instruction that addresses, at a minimum, initial and refresher training in the following topics:</w:t>
      </w:r>
    </w:p>
    <w:p w:rsidR="00313546" w:rsidRDefault="00313546" w:rsidP="00313546">
      <w:pPr>
        <w:pStyle w:val="Signature"/>
        <w:tabs>
          <w:tab w:val="left" w:pos="1440"/>
        </w:tabs>
        <w:ind w:left="1440" w:hanging="360"/>
      </w:pPr>
    </w:p>
    <w:p w:rsidR="00313546" w:rsidRDefault="00313546" w:rsidP="00313546">
      <w:pPr>
        <w:pStyle w:val="Signature"/>
        <w:tabs>
          <w:tab w:val="left" w:pos="1800"/>
        </w:tabs>
        <w:ind w:left="1800" w:hanging="360"/>
      </w:pPr>
      <w:proofErr w:type="spellStart"/>
      <w:r>
        <w:t>i</w:t>
      </w:r>
      <w:proofErr w:type="spellEnd"/>
      <w:r>
        <w:t>.</w:t>
      </w:r>
      <w:r>
        <w:tab/>
        <w:t>Spray gun equipment selection, set up, and operation, including measuring coating viscosity, selecting the proper fluid tip or nozzle, and achieving the proper spray pattern, air pressure and volume, and fluid delivery rate.</w:t>
      </w:r>
    </w:p>
    <w:p w:rsidR="00313546" w:rsidRDefault="00313546" w:rsidP="00313546">
      <w:pPr>
        <w:pStyle w:val="Signature"/>
        <w:tabs>
          <w:tab w:val="left" w:pos="1800"/>
        </w:tabs>
        <w:ind w:left="1800" w:hanging="360"/>
      </w:pPr>
    </w:p>
    <w:p w:rsidR="00313546" w:rsidRDefault="00313546" w:rsidP="00313546">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313546" w:rsidRDefault="00313546" w:rsidP="00313546">
      <w:pPr>
        <w:pStyle w:val="Signature"/>
        <w:tabs>
          <w:tab w:val="left" w:pos="1800"/>
        </w:tabs>
        <w:ind w:left="1800" w:hanging="360"/>
      </w:pPr>
    </w:p>
    <w:p w:rsidR="00313546" w:rsidRDefault="00313546" w:rsidP="00313546">
      <w:pPr>
        <w:pStyle w:val="Signature"/>
        <w:tabs>
          <w:tab w:val="left" w:pos="1800"/>
        </w:tabs>
        <w:ind w:left="1800" w:hanging="360"/>
      </w:pPr>
      <w:r>
        <w:t>iii.</w:t>
      </w:r>
      <w:r>
        <w:tab/>
        <w:t>Routine spray booth and filter maintenance, including filter selection and installation.</w:t>
      </w:r>
    </w:p>
    <w:p w:rsidR="00313546" w:rsidRDefault="00313546" w:rsidP="00313546">
      <w:pPr>
        <w:pStyle w:val="Signature"/>
        <w:tabs>
          <w:tab w:val="left" w:pos="1800"/>
        </w:tabs>
        <w:ind w:left="1800" w:hanging="360"/>
      </w:pPr>
    </w:p>
    <w:p w:rsidR="00313546" w:rsidRDefault="00313546" w:rsidP="00313546">
      <w:pPr>
        <w:pStyle w:val="Signature"/>
        <w:tabs>
          <w:tab w:val="left" w:pos="1800"/>
        </w:tabs>
        <w:ind w:left="1800" w:hanging="360"/>
      </w:pPr>
      <w:r>
        <w:t>iv.</w:t>
      </w:r>
      <w:r>
        <w:tab/>
        <w:t>Environmental compliance with the requirements of 40 CFR 63, Subpart HHHHHH.</w:t>
      </w:r>
    </w:p>
    <w:p w:rsidR="00313546" w:rsidRDefault="00313546" w:rsidP="00313546">
      <w:pPr>
        <w:pStyle w:val="Signature"/>
        <w:tabs>
          <w:tab w:val="left" w:pos="1800"/>
        </w:tabs>
        <w:ind w:left="1800" w:hanging="360"/>
      </w:pPr>
    </w:p>
    <w:p w:rsidR="00313546" w:rsidRDefault="00313546" w:rsidP="00313546">
      <w:pPr>
        <w:pStyle w:val="Signature"/>
        <w:tabs>
          <w:tab w:val="left" w:pos="1440"/>
        </w:tabs>
        <w:ind w:left="1440"/>
      </w:pPr>
      <w:r>
        <w:t xml:space="preserve">Owners and operators who can show by documentation or certification that a painter’s work experience and/or training has resulted in training equivalent to the </w:t>
      </w:r>
      <w:r>
        <w:lastRenderedPageBreak/>
        <w:t xml:space="preserve">training required in </w:t>
      </w:r>
      <w:proofErr w:type="spellStart"/>
      <w:r>
        <w:t>i</w:t>
      </w:r>
      <w:proofErr w:type="spellEnd"/>
      <w:r>
        <w:t>-iv above are not required to provide this training to these painters.</w:t>
      </w:r>
    </w:p>
    <w:p w:rsidR="00313546" w:rsidRDefault="00313546" w:rsidP="00313546">
      <w:pPr>
        <w:pStyle w:val="Signature"/>
        <w:tabs>
          <w:tab w:val="left" w:pos="1440"/>
        </w:tabs>
        <w:ind w:left="1440"/>
      </w:pPr>
    </w:p>
    <w:p w:rsidR="00313546" w:rsidRDefault="00313546" w:rsidP="00313546">
      <w:pPr>
        <w:pStyle w:val="Signature"/>
        <w:tabs>
          <w:tab w:val="left" w:pos="1440"/>
        </w:tabs>
        <w:ind w:left="1440"/>
      </w:pPr>
      <w:r>
        <w:t xml:space="preserve">Painter training that was completed within five years prior to the date training is required, and that meets the requirements specified in </w:t>
      </w:r>
      <w:proofErr w:type="spellStart"/>
      <w:r>
        <w:t>i</w:t>
      </w:r>
      <w:proofErr w:type="spellEnd"/>
      <w:r>
        <w:t>-iv above satisfies this requirement and is valid for a period not to exceed five years after the date the training is completed.</w:t>
      </w:r>
    </w:p>
    <w:p w:rsidR="00313546" w:rsidRDefault="00313546" w:rsidP="00313546">
      <w:pPr>
        <w:pStyle w:val="Signature"/>
        <w:tabs>
          <w:tab w:val="left" w:pos="1800"/>
        </w:tabs>
        <w:ind w:left="1800" w:hanging="360"/>
      </w:pPr>
    </w:p>
    <w:p w:rsidR="00313546" w:rsidRDefault="00313546" w:rsidP="00313546">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313546" w:rsidRDefault="00313546" w:rsidP="00313546">
      <w:pPr>
        <w:pStyle w:val="Signature"/>
        <w:tabs>
          <w:tab w:val="left" w:pos="720"/>
        </w:tabs>
        <w:ind w:left="720" w:hanging="360"/>
      </w:pPr>
    </w:p>
    <w:p w:rsidR="00313546" w:rsidRDefault="00313546" w:rsidP="00313546">
      <w:pPr>
        <w:pStyle w:val="Signature"/>
        <w:tabs>
          <w:tab w:val="left" w:pos="1080"/>
        </w:tabs>
        <w:ind w:left="1080" w:hanging="360"/>
      </w:pPr>
      <w:r>
        <w:t>4.</w:t>
      </w:r>
      <w:r>
        <w:tab/>
        <w:t>Training and certification will be valid for a period not to exceed five years after the date the training is complete, and all personnel must receive refresher training that meets the requirements of Condition III(f)(3) and be recertified every five years. [40 CFR 63.11173(g</w:t>
      </w:r>
      <w:proofErr w:type="gramStart"/>
      <w:r>
        <w:t>)(</w:t>
      </w:r>
      <w:proofErr w:type="gramEnd"/>
      <w:r>
        <w:t>3)]</w:t>
      </w:r>
    </w:p>
    <w:p w:rsidR="00313546" w:rsidRDefault="00313546" w:rsidP="00313546">
      <w:pPr>
        <w:pStyle w:val="Signature"/>
        <w:tabs>
          <w:tab w:val="left" w:pos="720"/>
        </w:tabs>
        <w:ind w:left="720" w:hanging="360"/>
      </w:pPr>
    </w:p>
    <w:p w:rsidR="00313546" w:rsidRDefault="00313546" w:rsidP="00313546">
      <w:pPr>
        <w:pStyle w:val="Signature"/>
        <w:tabs>
          <w:tab w:val="left" w:pos="720"/>
        </w:tabs>
        <w:ind w:left="720" w:hanging="360"/>
      </w:pPr>
      <w:r>
        <w:t>g.</w:t>
      </w:r>
      <w:r>
        <w:tab/>
      </w:r>
      <w:r w:rsidRPr="006243B7">
        <w:t xml:space="preserve">At all times, including periods of startup, shutdown, and malfunction, the owner shall, to the extent practicable, maintain and operate the </w:t>
      </w:r>
      <w:r>
        <w:t>spray painting equipment</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313546" w:rsidRDefault="00313546" w:rsidP="00313546">
      <w:pPr>
        <w:pStyle w:val="Signature"/>
        <w:ind w:left="720" w:hanging="360"/>
      </w:pPr>
    </w:p>
    <w:p w:rsidR="00313546" w:rsidRDefault="00313546" w:rsidP="00313546">
      <w:pPr>
        <w:pStyle w:val="Signature"/>
        <w:ind w:left="360" w:hanging="360"/>
      </w:pPr>
      <w:r>
        <w:t>IV.</w:t>
      </w:r>
      <w:r>
        <w:tab/>
      </w:r>
      <w:r>
        <w:rPr>
          <w:u w:val="single"/>
        </w:rPr>
        <w:t>Monitoring and Testing Requirements</w:t>
      </w:r>
      <w:r>
        <w:t>:</w:t>
      </w:r>
    </w:p>
    <w:p w:rsidR="00313546" w:rsidRDefault="00313546" w:rsidP="00313546">
      <w:pPr>
        <w:pStyle w:val="Signature"/>
        <w:ind w:left="360" w:hanging="360"/>
      </w:pPr>
    </w:p>
    <w:p w:rsidR="00313546" w:rsidRDefault="00313546" w:rsidP="00313546">
      <w:pPr>
        <w:pStyle w:val="Signature"/>
        <w:ind w:left="720" w:hanging="360"/>
      </w:pPr>
      <w:r>
        <w:t>a.</w:t>
      </w:r>
      <w:r>
        <w:tab/>
        <w:t>The Permittee shall monitor the contents of any chemical strippers used at the facility to ensure that they do not contain methylene chloride (</w:t>
      </w:r>
      <w:proofErr w:type="spellStart"/>
      <w:r>
        <w:t>MeCl</w:t>
      </w:r>
      <w:proofErr w:type="spellEnd"/>
      <w:r>
        <w:t>).</w:t>
      </w:r>
    </w:p>
    <w:p w:rsidR="00313546" w:rsidRDefault="00313546" w:rsidP="00313546">
      <w:pPr>
        <w:pStyle w:val="Signature"/>
        <w:ind w:left="720" w:hanging="360"/>
      </w:pPr>
    </w:p>
    <w:p w:rsidR="00313546" w:rsidRDefault="00313546" w:rsidP="00313546">
      <w:pPr>
        <w:pStyle w:val="Signature"/>
        <w:ind w:left="720" w:hanging="360"/>
      </w:pPr>
      <w:r>
        <w:t>b.</w:t>
      </w:r>
      <w:r>
        <w:tab/>
        <w:t xml:space="preserve">The Permittee shall track the volatile organic compound (VOC) content of all paints and refinishing coatings used at the facility, as applied to ensure compliance with Condition </w:t>
      </w:r>
      <w:proofErr w:type="gramStart"/>
      <w:r>
        <w:t>II(</w:t>
      </w:r>
      <w:proofErr w:type="gramEnd"/>
      <w:r>
        <w:t>b).  If applied, unadulterated, as the coating is obtained from the manufacturer, documentation provided by the manufacturer may be used to determine the VOC content.  Whenever such information is not available from the manufacturer or whenever a paint or refinishing coating is not applied as obtained from the manufacturer, the following method shall be used to determine the VOC content [20 DCMR 718.4]:</w:t>
      </w:r>
    </w:p>
    <w:p w:rsidR="00313546" w:rsidRDefault="00313546" w:rsidP="00313546">
      <w:pPr>
        <w:pStyle w:val="Signature"/>
        <w:ind w:left="720" w:hanging="360"/>
      </w:pPr>
    </w:p>
    <w:p w:rsidR="00313546" w:rsidRDefault="00313546" w:rsidP="00313546">
      <w:pPr>
        <w:autoSpaceDE w:val="0"/>
        <w:autoSpaceDN w:val="0"/>
        <w:adjustRightInd w:val="0"/>
        <w:ind w:left="1080" w:hanging="360"/>
      </w:pPr>
      <w:r>
        <w:t>1.</w:t>
      </w:r>
      <w:r>
        <w:tab/>
      </w:r>
      <w:r w:rsidRPr="008612E8">
        <w:t>The mass of VOC per combined volume of VOC and coating solids, less water and exempt compounds shall be calculated, in pounds per gallon, by the following equation. To convert from grams per liter to pounds per gallon (lb/gal), multiply the result (VOC content) by 8.345 x 10</w:t>
      </w:r>
      <w:r w:rsidRPr="008612E8">
        <w:rPr>
          <w:vertAlign w:val="superscript"/>
        </w:rPr>
        <w:t>-3</w:t>
      </w:r>
      <w:r w:rsidRPr="008612E8">
        <w:t xml:space="preserve"> (lb/gal/g/l):</w:t>
      </w:r>
    </w:p>
    <w:p w:rsidR="00313546" w:rsidRPr="008612E8" w:rsidRDefault="00313546" w:rsidP="00313546">
      <w:pPr>
        <w:autoSpaceDE w:val="0"/>
        <w:autoSpaceDN w:val="0"/>
        <w:adjustRightInd w:val="0"/>
        <w:ind w:left="1080" w:hanging="360"/>
      </w:pPr>
    </w:p>
    <w:p w:rsidR="00313546" w:rsidRDefault="00313546" w:rsidP="00313546">
      <w:pPr>
        <w:autoSpaceDE w:val="0"/>
        <w:autoSpaceDN w:val="0"/>
        <w:adjustRightInd w:val="0"/>
        <w:ind w:left="1080"/>
        <w:rPr>
          <w:rFonts w:ascii="SymbolMT" w:hAnsi="SymbolMT" w:cs="SymbolMT"/>
          <w:sz w:val="28"/>
          <w:szCs w:val="28"/>
        </w:rPr>
      </w:pPr>
      <w:r w:rsidRPr="008612E8">
        <w:rPr>
          <w:rFonts w:ascii="SymbolMT" w:hAnsi="SymbolMT" w:cs="SymbolMT"/>
          <w:position w:val="-28"/>
          <w:sz w:val="28"/>
          <w:szCs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9" o:title=""/>
          </v:shape>
          <o:OLEObject Type="Embed" ProgID="Equation.3" ShapeID="_x0000_i1025" DrawAspect="Content" ObjectID="_1490084299" r:id="rId10"/>
        </w:object>
      </w:r>
    </w:p>
    <w:p w:rsidR="00313546" w:rsidRDefault="00313546" w:rsidP="00313546">
      <w:pPr>
        <w:autoSpaceDE w:val="0"/>
        <w:autoSpaceDN w:val="0"/>
        <w:adjustRightInd w:val="0"/>
        <w:ind w:left="720"/>
      </w:pPr>
    </w:p>
    <w:p w:rsidR="00313546" w:rsidRPr="008612E8" w:rsidRDefault="00313546" w:rsidP="00313546">
      <w:pPr>
        <w:autoSpaceDE w:val="0"/>
        <w:autoSpaceDN w:val="0"/>
        <w:adjustRightInd w:val="0"/>
        <w:ind w:left="1080"/>
      </w:pPr>
      <w:proofErr w:type="gramStart"/>
      <w:r w:rsidRPr="008612E8">
        <w:t>where</w:t>
      </w:r>
      <w:proofErr w:type="gramEnd"/>
      <w:r w:rsidRPr="008612E8">
        <w:t>:</w:t>
      </w:r>
    </w:p>
    <w:p w:rsidR="00313546" w:rsidRPr="008612E8" w:rsidRDefault="00313546" w:rsidP="009B08E6">
      <w:pPr>
        <w:autoSpaceDE w:val="0"/>
        <w:autoSpaceDN w:val="0"/>
        <w:adjustRightInd w:val="0"/>
        <w:ind w:left="1440" w:hanging="360"/>
      </w:pPr>
      <w:r w:rsidRPr="008612E8">
        <w:t>VOC = VOC content in grams per liter (g/l) of coating less water and non VOC solvents;</w:t>
      </w:r>
    </w:p>
    <w:p w:rsidR="00313546" w:rsidRPr="008612E8" w:rsidRDefault="00313546" w:rsidP="00313546">
      <w:pPr>
        <w:autoSpaceDE w:val="0"/>
        <w:autoSpaceDN w:val="0"/>
        <w:adjustRightInd w:val="0"/>
        <w:ind w:left="1080"/>
      </w:pPr>
      <w:proofErr w:type="spellStart"/>
      <w:proofErr w:type="gramStart"/>
      <w:r w:rsidRPr="008612E8">
        <w:t>Wv</w:t>
      </w:r>
      <w:proofErr w:type="spellEnd"/>
      <w:proofErr w:type="gramEnd"/>
      <w:r w:rsidRPr="008612E8">
        <w:t xml:space="preserve"> = Mass of total volatiles, in grams;</w:t>
      </w:r>
    </w:p>
    <w:p w:rsidR="00313546" w:rsidRPr="008612E8" w:rsidRDefault="00313546" w:rsidP="00313546">
      <w:pPr>
        <w:autoSpaceDE w:val="0"/>
        <w:autoSpaceDN w:val="0"/>
        <w:adjustRightInd w:val="0"/>
        <w:ind w:left="1080"/>
      </w:pPr>
      <w:proofErr w:type="spellStart"/>
      <w:r w:rsidRPr="008612E8">
        <w:t>Ww</w:t>
      </w:r>
      <w:proofErr w:type="spellEnd"/>
      <w:r w:rsidRPr="008612E8">
        <w:t xml:space="preserve"> = Mass of water, in grams;</w:t>
      </w:r>
    </w:p>
    <w:p w:rsidR="00313546" w:rsidRPr="008612E8" w:rsidRDefault="00313546" w:rsidP="00313546">
      <w:pPr>
        <w:autoSpaceDE w:val="0"/>
        <w:autoSpaceDN w:val="0"/>
        <w:adjustRightInd w:val="0"/>
        <w:ind w:left="1080"/>
      </w:pPr>
      <w:proofErr w:type="spellStart"/>
      <w:r w:rsidRPr="008612E8">
        <w:t>Wec</w:t>
      </w:r>
      <w:proofErr w:type="spellEnd"/>
      <w:r w:rsidRPr="008612E8">
        <w:t xml:space="preserve"> = Mass of exempt compounds, in grams;</w:t>
      </w:r>
    </w:p>
    <w:p w:rsidR="00313546" w:rsidRPr="008612E8" w:rsidRDefault="00313546" w:rsidP="00313546">
      <w:pPr>
        <w:autoSpaceDE w:val="0"/>
        <w:autoSpaceDN w:val="0"/>
        <w:adjustRightInd w:val="0"/>
        <w:ind w:left="1080"/>
      </w:pPr>
      <w:r w:rsidRPr="008612E8">
        <w:t>V = Volume of coating, in liters;</w:t>
      </w:r>
    </w:p>
    <w:p w:rsidR="00313546" w:rsidRPr="008612E8" w:rsidRDefault="00313546" w:rsidP="00313546">
      <w:pPr>
        <w:autoSpaceDE w:val="0"/>
        <w:autoSpaceDN w:val="0"/>
        <w:adjustRightInd w:val="0"/>
        <w:ind w:left="1080"/>
      </w:pPr>
      <w:proofErr w:type="spellStart"/>
      <w:r w:rsidRPr="008612E8">
        <w:t>Vw</w:t>
      </w:r>
      <w:proofErr w:type="spellEnd"/>
      <w:r w:rsidRPr="008612E8">
        <w:t xml:space="preserve"> = Volume of water, in liters; and</w:t>
      </w:r>
    </w:p>
    <w:p w:rsidR="00313546" w:rsidRDefault="00313546" w:rsidP="00313546">
      <w:pPr>
        <w:autoSpaceDE w:val="0"/>
        <w:autoSpaceDN w:val="0"/>
        <w:adjustRightInd w:val="0"/>
        <w:ind w:left="1080"/>
      </w:pPr>
      <w:proofErr w:type="spellStart"/>
      <w:r w:rsidRPr="008612E8">
        <w:t>Vec</w:t>
      </w:r>
      <w:proofErr w:type="spellEnd"/>
      <w:r w:rsidRPr="008612E8">
        <w:t xml:space="preserve"> = Volume of exempt compounds, in liters; and</w:t>
      </w:r>
    </w:p>
    <w:p w:rsidR="00313546" w:rsidRDefault="00313546" w:rsidP="00313546">
      <w:pPr>
        <w:autoSpaceDE w:val="0"/>
        <w:autoSpaceDN w:val="0"/>
        <w:adjustRightInd w:val="0"/>
        <w:ind w:left="1080"/>
      </w:pPr>
    </w:p>
    <w:p w:rsidR="00313546" w:rsidRDefault="00313546" w:rsidP="00313546">
      <w:pPr>
        <w:autoSpaceDE w:val="0"/>
        <w:autoSpaceDN w:val="0"/>
        <w:adjustRightInd w:val="0"/>
        <w:ind w:left="1080" w:hanging="360"/>
      </w:pPr>
      <w:r>
        <w:t>2.</w:t>
      </w:r>
      <w:r>
        <w:tab/>
      </w:r>
      <w:r w:rsidRPr="00E019D7">
        <w:t>The VOC content of a multi-stage topcoat shall be calculated by the following equation:</w:t>
      </w:r>
    </w:p>
    <w:p w:rsidR="00313546" w:rsidRDefault="00313546" w:rsidP="00313546">
      <w:pPr>
        <w:autoSpaceDE w:val="0"/>
        <w:autoSpaceDN w:val="0"/>
        <w:adjustRightInd w:val="0"/>
        <w:ind w:left="1080" w:hanging="360"/>
      </w:pPr>
    </w:p>
    <w:p w:rsidR="00313546" w:rsidRPr="00E019D7" w:rsidRDefault="00313546" w:rsidP="00313546">
      <w:pPr>
        <w:autoSpaceDE w:val="0"/>
        <w:autoSpaceDN w:val="0"/>
        <w:adjustRightInd w:val="0"/>
        <w:ind w:left="1080"/>
      </w:pPr>
      <w:r w:rsidRPr="00E019D7">
        <w:rPr>
          <w:position w:val="-24"/>
        </w:rPr>
        <w:object w:dxaOrig="4520" w:dyaOrig="960">
          <v:shape id="_x0000_i1026" type="#_x0000_t75" style="width:225.6pt;height:48pt" o:ole="">
            <v:imagedata r:id="rId11" o:title=""/>
          </v:shape>
          <o:OLEObject Type="Embed" ProgID="Equation.3" ShapeID="_x0000_i1026" DrawAspect="Content" ObjectID="_1490084300" r:id="rId12"/>
        </w:object>
      </w:r>
    </w:p>
    <w:p w:rsidR="00313546" w:rsidRDefault="00313546" w:rsidP="00313546">
      <w:pPr>
        <w:autoSpaceDE w:val="0"/>
        <w:autoSpaceDN w:val="0"/>
        <w:adjustRightInd w:val="0"/>
        <w:ind w:left="1080"/>
      </w:pPr>
    </w:p>
    <w:p w:rsidR="00313546" w:rsidRPr="00E019D7" w:rsidRDefault="00313546" w:rsidP="00313546">
      <w:pPr>
        <w:autoSpaceDE w:val="0"/>
        <w:autoSpaceDN w:val="0"/>
        <w:adjustRightInd w:val="0"/>
        <w:ind w:left="1080"/>
      </w:pPr>
      <w:proofErr w:type="gramStart"/>
      <w:r w:rsidRPr="00E019D7">
        <w:t>where</w:t>
      </w:r>
      <w:proofErr w:type="gramEnd"/>
      <w:r w:rsidRPr="00E019D7">
        <w:t>:</w:t>
      </w:r>
    </w:p>
    <w:p w:rsidR="00313546" w:rsidRPr="00E019D7" w:rsidRDefault="00313546" w:rsidP="00313546">
      <w:pPr>
        <w:autoSpaceDE w:val="0"/>
        <w:autoSpaceDN w:val="0"/>
        <w:adjustRightInd w:val="0"/>
        <w:ind w:left="1080"/>
      </w:pPr>
      <w:proofErr w:type="spellStart"/>
      <w:r w:rsidRPr="00E019D7">
        <w:t>VOCmulti</w:t>
      </w:r>
      <w:proofErr w:type="spellEnd"/>
      <w:r w:rsidRPr="00E019D7">
        <w:t xml:space="preserve"> = VOC content of multistage topcoat, g/</w:t>
      </w:r>
      <w:r w:rsidRPr="00E019D7">
        <w:rPr>
          <w:i/>
          <w:iCs/>
        </w:rPr>
        <w:t>l</w:t>
      </w:r>
      <w:r w:rsidRPr="00E019D7">
        <w:t>;</w:t>
      </w:r>
    </w:p>
    <w:p w:rsidR="00313546" w:rsidRPr="00E019D7" w:rsidRDefault="00313546" w:rsidP="00313546">
      <w:pPr>
        <w:autoSpaceDE w:val="0"/>
        <w:autoSpaceDN w:val="0"/>
        <w:adjustRightInd w:val="0"/>
        <w:ind w:left="1080"/>
      </w:pPr>
      <w:proofErr w:type="spellStart"/>
      <w:r w:rsidRPr="00E019D7">
        <w:t>VOCbc</w:t>
      </w:r>
      <w:proofErr w:type="spellEnd"/>
      <w:r w:rsidRPr="00E019D7">
        <w:t xml:space="preserve"> = VOC content of basecoat, g/</w:t>
      </w:r>
      <w:r w:rsidRPr="00E019D7">
        <w:rPr>
          <w:i/>
          <w:iCs/>
        </w:rPr>
        <w:t>l</w:t>
      </w:r>
      <w:r w:rsidRPr="00E019D7">
        <w:t>;</w:t>
      </w:r>
    </w:p>
    <w:p w:rsidR="00313546" w:rsidRPr="00E019D7" w:rsidRDefault="00313546" w:rsidP="00313546">
      <w:pPr>
        <w:autoSpaceDE w:val="0"/>
        <w:autoSpaceDN w:val="0"/>
        <w:adjustRightInd w:val="0"/>
        <w:ind w:left="1080"/>
      </w:pPr>
      <w:proofErr w:type="spellStart"/>
      <w:r w:rsidRPr="00E019D7">
        <w:t>VOCmci</w:t>
      </w:r>
      <w:proofErr w:type="spellEnd"/>
      <w:r w:rsidRPr="00E019D7">
        <w:t xml:space="preserve"> = VOC content of the </w:t>
      </w:r>
      <w:proofErr w:type="spellStart"/>
      <w:r w:rsidRPr="00E019D7">
        <w:t>midcoat</w:t>
      </w:r>
      <w:proofErr w:type="spellEnd"/>
      <w:r w:rsidRPr="00E019D7">
        <w:t>(s), g/</w:t>
      </w:r>
      <w:r w:rsidRPr="00E019D7">
        <w:rPr>
          <w:i/>
          <w:iCs/>
        </w:rPr>
        <w:t>l</w:t>
      </w:r>
      <w:r w:rsidRPr="00E019D7">
        <w:t>;</w:t>
      </w:r>
    </w:p>
    <w:p w:rsidR="00313546" w:rsidRPr="00E019D7" w:rsidRDefault="00313546" w:rsidP="00313546">
      <w:pPr>
        <w:autoSpaceDE w:val="0"/>
        <w:autoSpaceDN w:val="0"/>
        <w:adjustRightInd w:val="0"/>
        <w:ind w:left="1080"/>
      </w:pPr>
      <w:proofErr w:type="spellStart"/>
      <w:r w:rsidRPr="00E019D7">
        <w:t>VOCcc</w:t>
      </w:r>
      <w:proofErr w:type="spellEnd"/>
      <w:r w:rsidRPr="00E019D7">
        <w:t xml:space="preserve"> = VOC content of the clear coat, g/</w:t>
      </w:r>
      <w:r w:rsidRPr="00E019D7">
        <w:rPr>
          <w:i/>
          <w:iCs/>
        </w:rPr>
        <w:t>l</w:t>
      </w:r>
      <w:r w:rsidRPr="00E019D7">
        <w:t>; and</w:t>
      </w:r>
    </w:p>
    <w:p w:rsidR="00313546" w:rsidRPr="00E019D7" w:rsidRDefault="00313546" w:rsidP="00313546">
      <w:pPr>
        <w:pStyle w:val="Signature"/>
        <w:ind w:left="1080"/>
      </w:pPr>
      <w:r w:rsidRPr="00E019D7">
        <w:t xml:space="preserve">M = Number of </w:t>
      </w:r>
      <w:proofErr w:type="spellStart"/>
      <w:r w:rsidRPr="00E019D7">
        <w:t>midcoats</w:t>
      </w:r>
      <w:proofErr w:type="spellEnd"/>
      <w:r w:rsidRPr="00E019D7">
        <w:t>.</w:t>
      </w:r>
    </w:p>
    <w:p w:rsidR="00313546" w:rsidRDefault="00313546" w:rsidP="00313546">
      <w:pPr>
        <w:pStyle w:val="Signature"/>
        <w:ind w:left="720" w:hanging="360"/>
      </w:pPr>
    </w:p>
    <w:p w:rsidR="00313546" w:rsidRDefault="00313546" w:rsidP="00313546">
      <w:pPr>
        <w:pStyle w:val="Signature"/>
        <w:ind w:left="720" w:hanging="360"/>
      </w:pPr>
      <w:r>
        <w:t>c.</w:t>
      </w:r>
      <w:r>
        <w:tab/>
        <w:t>The Permittee shall maintain an awareness of the area to ensure that the odor and nuisance air pollutant requirements of Condition II(c) are met.</w:t>
      </w:r>
    </w:p>
    <w:p w:rsidR="00313546" w:rsidRDefault="00313546" w:rsidP="00313546">
      <w:pPr>
        <w:pStyle w:val="Signature"/>
        <w:ind w:left="720" w:hanging="360"/>
      </w:pPr>
    </w:p>
    <w:p w:rsidR="00313546" w:rsidRDefault="00313546" w:rsidP="00313546">
      <w:pPr>
        <w:pStyle w:val="Signature"/>
        <w:ind w:left="720" w:hanging="360"/>
      </w:pPr>
      <w:r>
        <w:t>d.</w:t>
      </w:r>
      <w:r>
        <w:tab/>
        <w:t xml:space="preserve">The Permittee shall monitor the emission point from the spray booth to ensure that the requirements of Condition </w:t>
      </w:r>
      <w:proofErr w:type="gramStart"/>
      <w:r>
        <w:t>II(</w:t>
      </w:r>
      <w:proofErr w:type="gramEnd"/>
      <w:r>
        <w:t>d) are met.</w:t>
      </w:r>
    </w:p>
    <w:p w:rsidR="00313546" w:rsidRDefault="00313546" w:rsidP="00313546">
      <w:pPr>
        <w:pStyle w:val="Signature"/>
        <w:ind w:left="720" w:hanging="360"/>
      </w:pPr>
    </w:p>
    <w:p w:rsidR="00313546" w:rsidRDefault="00313546" w:rsidP="00313546">
      <w:pPr>
        <w:pStyle w:val="Signature"/>
        <w:ind w:left="720" w:hanging="360"/>
      </w:pPr>
      <w:r>
        <w:t>e.</w:t>
      </w:r>
      <w:r>
        <w:tab/>
        <w:t xml:space="preserve">The Permittee shall monitor the backup stores of spray booth filters to ensure that all filters meet the requirements of Conditions </w:t>
      </w:r>
      <w:proofErr w:type="gramStart"/>
      <w:r>
        <w:t>III(</w:t>
      </w:r>
      <w:proofErr w:type="gramEnd"/>
      <w:r>
        <w:t>d)(1) and (2).</w:t>
      </w:r>
    </w:p>
    <w:p w:rsidR="00313546" w:rsidRDefault="00313546" w:rsidP="00313546">
      <w:pPr>
        <w:pStyle w:val="Signature"/>
        <w:ind w:left="720" w:hanging="360"/>
      </w:pPr>
    </w:p>
    <w:p w:rsidR="00313546" w:rsidRDefault="00313546" w:rsidP="00313546">
      <w:pPr>
        <w:pStyle w:val="Signature"/>
        <w:ind w:left="720" w:hanging="360"/>
      </w:pPr>
      <w:r>
        <w:t>f.</w:t>
      </w:r>
      <w:r>
        <w:tab/>
        <w:t xml:space="preserve">The Permittee shall monitor the maintenance and operational status of the spray booth and the activities performed in the spray booth and at the facility to ensure compliance with the requirements of Conditions </w:t>
      </w:r>
      <w:proofErr w:type="gramStart"/>
      <w:r>
        <w:t>III(</w:t>
      </w:r>
      <w:proofErr w:type="gramEnd"/>
      <w:r>
        <w:t>d)(4), III(e) and III(g).</w:t>
      </w:r>
    </w:p>
    <w:p w:rsidR="00313546" w:rsidRDefault="00313546" w:rsidP="00313546">
      <w:pPr>
        <w:pStyle w:val="Signature"/>
        <w:ind w:left="720" w:hanging="360"/>
      </w:pPr>
    </w:p>
    <w:p w:rsidR="009B08E6" w:rsidRDefault="009B08E6" w:rsidP="00313546">
      <w:pPr>
        <w:pStyle w:val="Signature"/>
      </w:pPr>
    </w:p>
    <w:p w:rsidR="009B08E6" w:rsidRDefault="009B08E6" w:rsidP="00313546">
      <w:pPr>
        <w:pStyle w:val="Signature"/>
      </w:pPr>
    </w:p>
    <w:p w:rsidR="00313546" w:rsidRDefault="00313546" w:rsidP="00313546">
      <w:pPr>
        <w:pStyle w:val="Signature"/>
      </w:pPr>
      <w:r w:rsidRPr="004D7105">
        <w:lastRenderedPageBreak/>
        <w:t>V.</w:t>
      </w:r>
      <w:r>
        <w:t xml:space="preserve">  </w:t>
      </w:r>
      <w:r>
        <w:rPr>
          <w:u w:val="single"/>
        </w:rPr>
        <w:t>Record Keeping Requirements</w:t>
      </w:r>
      <w:r>
        <w:t>:</w:t>
      </w:r>
    </w:p>
    <w:p w:rsidR="00313546" w:rsidRDefault="00313546" w:rsidP="00313546">
      <w:pPr>
        <w:pStyle w:val="Signature"/>
        <w:ind w:left="360"/>
      </w:pPr>
    </w:p>
    <w:p w:rsidR="00313546" w:rsidRDefault="00313546" w:rsidP="00313546">
      <w:pPr>
        <w:pStyle w:val="Signature"/>
        <w:ind w:left="360" w:hanging="360"/>
      </w:pPr>
      <w:r>
        <w:tab/>
        <w:t>Starting at the time of permit issuance, the Permittee shall maintain the following records for not less than five years from the date of each record. [20 DCMR 500.8 and 40 CFR 63.11178]</w:t>
      </w:r>
    </w:p>
    <w:p w:rsidR="009B08E6" w:rsidRDefault="009B08E6" w:rsidP="00313546">
      <w:pPr>
        <w:pStyle w:val="Signature"/>
        <w:ind w:left="360" w:hanging="360"/>
      </w:pPr>
    </w:p>
    <w:p w:rsidR="00313546" w:rsidRDefault="00313546" w:rsidP="00313546">
      <w:pPr>
        <w:pStyle w:val="Signature"/>
        <w:ind w:left="720" w:hanging="360"/>
      </w:pPr>
      <w:r>
        <w:t>a.</w:t>
      </w:r>
      <w:r>
        <w:tab/>
        <w:t>The Permittee shall maintain records of the types of chemical paint strippers used at the facility as well as their chemical make-up.</w:t>
      </w:r>
    </w:p>
    <w:p w:rsidR="00313546" w:rsidRDefault="00313546" w:rsidP="00313546">
      <w:pPr>
        <w:pStyle w:val="Signature"/>
        <w:ind w:left="720" w:hanging="360"/>
      </w:pPr>
    </w:p>
    <w:p w:rsidR="00313546" w:rsidRDefault="00313546" w:rsidP="00313546">
      <w:pPr>
        <w:pStyle w:val="Signature"/>
        <w:ind w:left="720" w:hanging="360"/>
      </w:pPr>
      <w:r>
        <w:t>b.</w:t>
      </w:r>
      <w:r>
        <w:tab/>
        <w:t xml:space="preserve">The Permittee shall maintain records of the quantity, type, and VOC content of all paints and refinishing coatings used at the facility, as applied.  </w:t>
      </w:r>
    </w:p>
    <w:p w:rsidR="00313546" w:rsidRDefault="00313546" w:rsidP="00313546">
      <w:pPr>
        <w:pStyle w:val="Signature"/>
        <w:ind w:left="720" w:hanging="360"/>
      </w:pPr>
    </w:p>
    <w:p w:rsidR="00313546" w:rsidRDefault="00313546" w:rsidP="00313546">
      <w:pPr>
        <w:pStyle w:val="Signature"/>
        <w:ind w:left="720" w:hanging="360"/>
      </w:pPr>
      <w:r>
        <w:t>c.</w:t>
      </w:r>
      <w:r>
        <w:tab/>
        <w:t>The Permittee shall maintain records of the type(s) of spray guns in use.</w:t>
      </w:r>
    </w:p>
    <w:p w:rsidR="00313546" w:rsidRDefault="00313546" w:rsidP="00313546">
      <w:pPr>
        <w:pStyle w:val="Signature"/>
        <w:ind w:left="720" w:hanging="360"/>
      </w:pPr>
    </w:p>
    <w:p w:rsidR="00313546" w:rsidRDefault="00313546" w:rsidP="00313546">
      <w:pPr>
        <w:pStyle w:val="Signature"/>
        <w:ind w:left="720" w:hanging="360"/>
      </w:pPr>
      <w:r>
        <w:t>d.</w:t>
      </w:r>
      <w:r>
        <w:tab/>
        <w:t>The Permittee shall maintain records of the type and capture efficiency of all spray booth filters used at the facility [40 CFR 63.11177(b)].</w:t>
      </w:r>
    </w:p>
    <w:p w:rsidR="00313546" w:rsidRDefault="00313546" w:rsidP="00313546">
      <w:pPr>
        <w:pStyle w:val="Signature"/>
        <w:ind w:left="720" w:hanging="360"/>
      </w:pPr>
    </w:p>
    <w:p w:rsidR="00313546" w:rsidRDefault="00313546" w:rsidP="00313546">
      <w:pPr>
        <w:pStyle w:val="Signature"/>
        <w:ind w:left="720" w:hanging="360"/>
      </w:pPr>
      <w:r>
        <w:t>e.</w:t>
      </w:r>
      <w:r>
        <w:tab/>
        <w:t xml:space="preserve">The Permittee shall maintain records of the replacement dates of spray booth filters to document compliance with Condition </w:t>
      </w:r>
      <w:proofErr w:type="gramStart"/>
      <w:r>
        <w:t>III(</w:t>
      </w:r>
      <w:proofErr w:type="gramEnd"/>
      <w:r>
        <w:t>d)(2).</w:t>
      </w:r>
    </w:p>
    <w:p w:rsidR="00313546" w:rsidRDefault="00313546" w:rsidP="00313546">
      <w:pPr>
        <w:pStyle w:val="Signature"/>
        <w:ind w:left="720" w:hanging="360"/>
      </w:pPr>
    </w:p>
    <w:p w:rsidR="00313546" w:rsidRDefault="00313546" w:rsidP="00313546">
      <w:pPr>
        <w:pStyle w:val="Signature"/>
        <w:ind w:left="720" w:hanging="360"/>
      </w:pPr>
      <w:r>
        <w:t>f.</w:t>
      </w:r>
      <w:r>
        <w:tab/>
        <w:t>The Permittee shall maintain records of all maintenance performed on the spray booth.</w:t>
      </w:r>
    </w:p>
    <w:p w:rsidR="00313546" w:rsidRDefault="00313546" w:rsidP="00313546">
      <w:pPr>
        <w:pStyle w:val="Signature"/>
        <w:ind w:left="720" w:hanging="360"/>
      </w:pPr>
    </w:p>
    <w:p w:rsidR="00313546" w:rsidRDefault="00313546" w:rsidP="00313546">
      <w:pPr>
        <w:pStyle w:val="Signature"/>
        <w:ind w:left="720" w:hanging="360"/>
      </w:pPr>
      <w:r>
        <w:t>g.</w:t>
      </w:r>
      <w:r>
        <w:tab/>
        <w:t xml:space="preserve">The Permittee shall maintain records of certifications that each painter has completed the training specified in Condition </w:t>
      </w:r>
      <w:proofErr w:type="gramStart"/>
      <w:r>
        <w:t>III(</w:t>
      </w:r>
      <w:proofErr w:type="gramEnd"/>
      <w:r>
        <w:t>f)(3). [40 CFR 63.11177(a)]</w:t>
      </w:r>
    </w:p>
    <w:p w:rsidR="00313546" w:rsidRDefault="00313546" w:rsidP="00313546">
      <w:pPr>
        <w:pStyle w:val="Signature"/>
        <w:ind w:left="720" w:hanging="360"/>
      </w:pPr>
    </w:p>
    <w:p w:rsidR="00313546" w:rsidRDefault="00313546" w:rsidP="00313546">
      <w:pPr>
        <w:pStyle w:val="Signature"/>
        <w:ind w:left="720" w:hanging="360"/>
      </w:pPr>
      <w:r>
        <w:t>h.</w:t>
      </w:r>
      <w:r>
        <w:tab/>
        <w:t xml:space="preserve">The Permittee shall maintain records of all painter training required under Condition </w:t>
      </w:r>
      <w:proofErr w:type="gramStart"/>
      <w:r>
        <w:t>III(</w:t>
      </w:r>
      <w:proofErr w:type="gramEnd"/>
      <w:r>
        <w:t>f) of this permit.</w:t>
      </w:r>
    </w:p>
    <w:p w:rsidR="00313546" w:rsidRDefault="00313546" w:rsidP="00313546">
      <w:pPr>
        <w:pStyle w:val="Signature"/>
        <w:ind w:left="720" w:hanging="360"/>
      </w:pPr>
    </w:p>
    <w:p w:rsidR="00313546" w:rsidRDefault="00313546" w:rsidP="00313546">
      <w:pPr>
        <w:pStyle w:val="Signature"/>
        <w:ind w:left="720" w:hanging="360"/>
      </w:pPr>
      <w:proofErr w:type="spellStart"/>
      <w:r>
        <w:t>i</w:t>
      </w:r>
      <w:proofErr w:type="spellEnd"/>
      <w:r>
        <w:t>.</w:t>
      </w:r>
      <w:r>
        <w:tab/>
        <w:t>The Permittee shall maintain copies of any notification and report required under Condition IV of this permit. [40 CFR 63.11177(d)]</w:t>
      </w:r>
    </w:p>
    <w:p w:rsidR="00313546" w:rsidRDefault="00313546" w:rsidP="00313546">
      <w:pPr>
        <w:pStyle w:val="Signature"/>
        <w:ind w:left="720" w:hanging="360"/>
      </w:pPr>
    </w:p>
    <w:p w:rsidR="00313546" w:rsidRDefault="00313546" w:rsidP="00313546">
      <w:pPr>
        <w:pStyle w:val="Signature"/>
        <w:ind w:left="720" w:hanging="360"/>
      </w:pPr>
      <w:r>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313546" w:rsidRDefault="00313546" w:rsidP="00313546">
      <w:pPr>
        <w:pStyle w:val="Signature"/>
        <w:ind w:left="720" w:hanging="360"/>
      </w:pPr>
    </w:p>
    <w:p w:rsidR="00313546" w:rsidRDefault="00313546" w:rsidP="00313546">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313546" w:rsidRDefault="00313546" w:rsidP="00313546">
      <w:pPr>
        <w:pStyle w:val="Signature"/>
        <w:tabs>
          <w:tab w:val="num" w:pos="720"/>
        </w:tabs>
        <w:ind w:left="720" w:hanging="360"/>
      </w:pPr>
    </w:p>
    <w:p w:rsidR="009B08E6" w:rsidRDefault="009B08E6" w:rsidP="00357FDA">
      <w:pPr>
        <w:pStyle w:val="Signature"/>
        <w:ind w:left="360" w:hanging="360"/>
      </w:pPr>
    </w:p>
    <w:p w:rsidR="009B08E6" w:rsidRDefault="009B08E6" w:rsidP="00357FDA">
      <w:pPr>
        <w:pStyle w:val="Signature"/>
        <w:ind w:left="360" w:hanging="360"/>
      </w:pPr>
    </w:p>
    <w:p w:rsidR="009B08E6" w:rsidRDefault="009B08E6" w:rsidP="00357FDA">
      <w:pPr>
        <w:pStyle w:val="Signature"/>
        <w:ind w:left="360" w:hanging="360"/>
      </w:pPr>
    </w:p>
    <w:p w:rsidR="009B08E6" w:rsidRDefault="009B08E6" w:rsidP="009B08E6">
      <w:pPr>
        <w:pStyle w:val="Signature"/>
        <w:ind w:left="360" w:hanging="360"/>
      </w:pPr>
      <w:r>
        <w:lastRenderedPageBreak/>
        <w:t>VI.</w:t>
      </w:r>
      <w:r>
        <w:tab/>
      </w:r>
      <w:r>
        <w:rPr>
          <w:u w:val="single"/>
        </w:rPr>
        <w:t>Notification and Reporting Requirements</w:t>
      </w:r>
      <w:r>
        <w:t>:</w:t>
      </w:r>
    </w:p>
    <w:p w:rsidR="009B08E6" w:rsidRDefault="009B08E6" w:rsidP="009B08E6">
      <w:pPr>
        <w:pStyle w:val="Signature"/>
        <w:ind w:left="360" w:hanging="360"/>
      </w:pPr>
    </w:p>
    <w:p w:rsidR="009B08E6" w:rsidRDefault="009B08E6" w:rsidP="009B08E6">
      <w:pPr>
        <w:pStyle w:val="Signature"/>
        <w:ind w:left="720" w:hanging="360"/>
      </w:pPr>
      <w:r>
        <w:t>a.</w:t>
      </w:r>
      <w:r>
        <w:tab/>
        <w:t xml:space="preserve">Notifications required by Condition </w:t>
      </w:r>
      <w:proofErr w:type="gramStart"/>
      <w:r>
        <w:t>VI(</w:t>
      </w:r>
      <w:proofErr w:type="gramEnd"/>
      <w:r>
        <w:t>b) and (c) shall be submitted to each of the following addresses:</w:t>
      </w:r>
    </w:p>
    <w:p w:rsidR="009B08E6" w:rsidRDefault="009B08E6" w:rsidP="009B08E6">
      <w:pPr>
        <w:pStyle w:val="Signature"/>
        <w:ind w:left="1080" w:hanging="360"/>
      </w:pPr>
    </w:p>
    <w:p w:rsidR="009B08E6" w:rsidRDefault="009B08E6" w:rsidP="009B08E6">
      <w:pPr>
        <w:pStyle w:val="Signature"/>
        <w:ind w:left="720"/>
      </w:pPr>
      <w:r>
        <w:t>EPA Region III</w:t>
      </w:r>
    </w:p>
    <w:p w:rsidR="009B08E6" w:rsidRDefault="009B08E6" w:rsidP="009B08E6">
      <w:pPr>
        <w:pStyle w:val="Signature"/>
        <w:ind w:left="720"/>
      </w:pPr>
      <w:r>
        <w:t>Director</w:t>
      </w:r>
    </w:p>
    <w:p w:rsidR="009B08E6" w:rsidRDefault="009B08E6" w:rsidP="009B08E6">
      <w:pPr>
        <w:pStyle w:val="Signature"/>
        <w:ind w:left="720"/>
      </w:pPr>
      <w:r>
        <w:t>Air Protection Division</w:t>
      </w:r>
    </w:p>
    <w:p w:rsidR="009B08E6" w:rsidRDefault="009B08E6" w:rsidP="009B08E6">
      <w:pPr>
        <w:pStyle w:val="Signature"/>
        <w:ind w:left="720"/>
      </w:pPr>
      <w:smartTag w:uri="urn:schemas-microsoft-com:office:smarttags" w:element="Street">
        <w:smartTag w:uri="urn:schemas-microsoft-com:office:smarttags" w:element="address">
          <w:r>
            <w:t>1650 Arch Street</w:t>
          </w:r>
        </w:smartTag>
      </w:smartTag>
    </w:p>
    <w:p w:rsidR="009B08E6" w:rsidRDefault="009B08E6" w:rsidP="009B08E6">
      <w:pPr>
        <w:pStyle w:val="Signature"/>
        <w:ind w:left="720"/>
      </w:pP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19103</w:t>
          </w:r>
        </w:smartTag>
      </w:smartTag>
    </w:p>
    <w:p w:rsidR="009B08E6" w:rsidRDefault="009B08E6" w:rsidP="009B08E6">
      <w:pPr>
        <w:pStyle w:val="Signature"/>
        <w:ind w:left="720"/>
      </w:pPr>
    </w:p>
    <w:p w:rsidR="009B08E6" w:rsidRDefault="009B08E6" w:rsidP="009B08E6">
      <w:pPr>
        <w:pStyle w:val="Signature"/>
        <w:ind w:left="720"/>
      </w:pPr>
      <w:proofErr w:type="gramStart"/>
      <w:r>
        <w:t>and</w:t>
      </w:r>
      <w:proofErr w:type="gramEnd"/>
    </w:p>
    <w:p w:rsidR="009B08E6" w:rsidRDefault="009B08E6" w:rsidP="009B08E6">
      <w:pPr>
        <w:pStyle w:val="Signature"/>
        <w:ind w:left="720"/>
      </w:pPr>
    </w:p>
    <w:p w:rsidR="009B08E6" w:rsidRDefault="009B08E6" w:rsidP="009B08E6">
      <w:pPr>
        <w:pStyle w:val="Signature"/>
        <w:ind w:left="720"/>
      </w:pPr>
      <w:r>
        <w:t>Chief, Compliance and Enforcement Branch</w:t>
      </w:r>
    </w:p>
    <w:p w:rsidR="009B08E6" w:rsidRDefault="009B08E6" w:rsidP="009B08E6">
      <w:pPr>
        <w:pStyle w:val="Signature"/>
        <w:ind w:left="720"/>
      </w:pPr>
      <w:r>
        <w:t>District Department of the Environment</w:t>
      </w:r>
    </w:p>
    <w:p w:rsidR="009B08E6" w:rsidRDefault="009B08E6" w:rsidP="009B08E6">
      <w:pPr>
        <w:pStyle w:val="Signature"/>
        <w:ind w:left="720"/>
      </w:pPr>
      <w:r>
        <w:t>Air Quality Division</w:t>
      </w:r>
    </w:p>
    <w:p w:rsidR="009B08E6" w:rsidRDefault="009B08E6" w:rsidP="009B08E6">
      <w:pPr>
        <w:pStyle w:val="Signature"/>
        <w:ind w:left="720"/>
      </w:pPr>
      <w:r>
        <w:t xml:space="preserve">1200 </w:t>
      </w:r>
      <w:smartTag w:uri="urn:schemas-microsoft-com:office:smarttags" w:element="Street">
        <w:smartTag w:uri="urn:schemas-microsoft-com:office:smarttags" w:element="address">
          <w:r>
            <w:t>First St NE</w:t>
          </w:r>
        </w:smartTag>
      </w:smartTag>
      <w:r>
        <w:t>, 5</w:t>
      </w:r>
      <w:r w:rsidRPr="0078403E">
        <w:rPr>
          <w:vertAlign w:val="superscript"/>
        </w:rPr>
        <w:t>th</w:t>
      </w:r>
      <w:r>
        <w:t xml:space="preserve"> Floor</w:t>
      </w:r>
    </w:p>
    <w:p w:rsidR="009B08E6" w:rsidRDefault="009B08E6" w:rsidP="009B08E6">
      <w:pPr>
        <w:pStyle w:val="Signature"/>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9B08E6" w:rsidRDefault="009B08E6" w:rsidP="009B08E6">
      <w:pPr>
        <w:pStyle w:val="Signature"/>
        <w:ind w:left="1440" w:hanging="360"/>
      </w:pPr>
    </w:p>
    <w:p w:rsidR="009B08E6" w:rsidRDefault="009B08E6" w:rsidP="009B08E6">
      <w:pPr>
        <w:pStyle w:val="Signature"/>
        <w:ind w:left="720" w:hanging="360"/>
      </w:pPr>
      <w:r>
        <w:t>b.</w:t>
      </w:r>
      <w:r>
        <w:tab/>
      </w:r>
      <w:r>
        <w:rPr>
          <w:i/>
        </w:rPr>
        <w:t xml:space="preserve">Initial Notification:  </w:t>
      </w:r>
      <w:r>
        <w:t xml:space="preserve">If not already completed by the date of issuance of this permit, the </w:t>
      </w:r>
      <w:proofErr w:type="spellStart"/>
      <w:r>
        <w:t>Permittee</w:t>
      </w:r>
      <w:proofErr w:type="spellEnd"/>
      <w:r>
        <w:t xml:space="preserve"> shall promptly submit an initial notification that the facility is subject to 40 CFR Subpart HHHHHH, “National Emission Standards for Hazardous Air Pollutants: Paint Stripping and Miscellaneous Surface Coating Operations at Area Sources”, in accordance with the following requirements [40 CFR 63.11175(a)]:</w:t>
      </w:r>
    </w:p>
    <w:p w:rsidR="009B08E6" w:rsidRDefault="009B08E6" w:rsidP="009B08E6">
      <w:pPr>
        <w:pStyle w:val="Signature"/>
        <w:ind w:left="720" w:hanging="360"/>
      </w:pPr>
    </w:p>
    <w:p w:rsidR="009B08E6" w:rsidRDefault="009B08E6" w:rsidP="009B08E6">
      <w:pPr>
        <w:pStyle w:val="Signature"/>
        <w:ind w:left="1080" w:hanging="360"/>
      </w:pPr>
      <w:r>
        <w:t>1.</w:t>
      </w:r>
      <w:r>
        <w:tab/>
        <w:t>The initial notification shall contain the following information:</w:t>
      </w:r>
    </w:p>
    <w:p w:rsidR="009B08E6" w:rsidRDefault="009B08E6" w:rsidP="009B08E6">
      <w:pPr>
        <w:pStyle w:val="Signature"/>
        <w:ind w:left="1080" w:hanging="360"/>
      </w:pPr>
    </w:p>
    <w:p w:rsidR="009B08E6" w:rsidRDefault="009B08E6" w:rsidP="009B08E6">
      <w:pPr>
        <w:pStyle w:val="Signature"/>
        <w:ind w:left="1440" w:hanging="360"/>
      </w:pPr>
      <w:r>
        <w:t>A.</w:t>
      </w:r>
      <w:r>
        <w:tab/>
        <w:t>The company name;</w:t>
      </w:r>
    </w:p>
    <w:p w:rsidR="009B08E6" w:rsidRDefault="009B08E6" w:rsidP="009B08E6">
      <w:pPr>
        <w:pStyle w:val="Signature"/>
        <w:ind w:left="1440" w:hanging="360"/>
      </w:pPr>
    </w:p>
    <w:p w:rsidR="009B08E6" w:rsidRDefault="009B08E6" w:rsidP="009B08E6">
      <w:pPr>
        <w:pStyle w:val="Signature"/>
        <w:ind w:left="1440" w:hanging="360"/>
      </w:pPr>
      <w:r>
        <w:t>B.</w:t>
      </w:r>
      <w:r>
        <w:tab/>
        <w:t>The name, title, street address, telephone number, e-mail address (if available), and signature of the owner and operator, or other certifying company official;</w:t>
      </w:r>
    </w:p>
    <w:p w:rsidR="009B08E6" w:rsidRDefault="009B08E6" w:rsidP="009B08E6">
      <w:pPr>
        <w:pStyle w:val="Signature"/>
        <w:ind w:left="1440" w:hanging="360"/>
      </w:pPr>
    </w:p>
    <w:p w:rsidR="009B08E6" w:rsidRDefault="009B08E6" w:rsidP="009B08E6">
      <w:pPr>
        <w:pStyle w:val="Signature"/>
        <w:ind w:left="1440" w:hanging="360"/>
      </w:pPr>
      <w:r>
        <w:t>C.</w:t>
      </w:r>
      <w:r>
        <w:tab/>
        <w:t>The street address (physical location) of the affected source (the facility) and the street address where compliance records are maintained, if different;</w:t>
      </w:r>
    </w:p>
    <w:p w:rsidR="009B08E6" w:rsidRDefault="009B08E6" w:rsidP="009B08E6">
      <w:pPr>
        <w:pStyle w:val="Signature"/>
        <w:ind w:left="1440" w:hanging="360"/>
      </w:pPr>
    </w:p>
    <w:p w:rsidR="009B08E6" w:rsidRDefault="009B08E6" w:rsidP="009B08E6">
      <w:pPr>
        <w:pStyle w:val="Signature"/>
        <w:ind w:left="1440" w:hanging="360"/>
      </w:pPr>
      <w:r>
        <w:t>D.</w:t>
      </w:r>
      <w:r>
        <w:tab/>
        <w:t>An identification of the relevant standard (i.e., 40 CFR 63, Subpart HHHHHH);</w:t>
      </w:r>
    </w:p>
    <w:p w:rsidR="009B08E6" w:rsidRDefault="009B08E6" w:rsidP="009B08E6">
      <w:pPr>
        <w:pStyle w:val="Signature"/>
        <w:ind w:left="1440" w:hanging="360"/>
      </w:pPr>
    </w:p>
    <w:p w:rsidR="009B08E6" w:rsidRDefault="009B08E6" w:rsidP="009B08E6">
      <w:pPr>
        <w:pStyle w:val="Signature"/>
        <w:ind w:left="1440" w:hanging="360"/>
      </w:pPr>
      <w:r>
        <w:t>E.</w:t>
      </w:r>
      <w:r>
        <w:tab/>
        <w:t xml:space="preserve">A brief description of the type of operation including the fact that the source is a “motor vehicle and mobile equipment surface coating operation” as well as the number of spray booths and preparation stations and the number of painters usually employed at the operation.  Also specify if paint stripping occurs at the facility and, if so, the method employed (e.g. chemical or mechanical).  If </w:t>
      </w:r>
      <w:r>
        <w:lastRenderedPageBreak/>
        <w:t xml:space="preserve">chemical stripping is used and the requirements of this permit are met, the </w:t>
      </w:r>
      <w:proofErr w:type="spellStart"/>
      <w:r>
        <w:t>Permittee</w:t>
      </w:r>
      <w:proofErr w:type="spellEnd"/>
      <w:r>
        <w:t xml:space="preserve"> must specify that no methylene chloride is used;</w:t>
      </w:r>
    </w:p>
    <w:p w:rsidR="009B08E6" w:rsidRDefault="009B08E6" w:rsidP="009B08E6">
      <w:pPr>
        <w:pStyle w:val="Signature"/>
        <w:ind w:left="1440" w:hanging="360"/>
      </w:pPr>
    </w:p>
    <w:p w:rsidR="009B08E6" w:rsidRPr="009C69C9" w:rsidRDefault="009B08E6" w:rsidP="009B08E6">
      <w:pPr>
        <w:pStyle w:val="Signature"/>
        <w:ind w:left="1440" w:hanging="360"/>
      </w:pPr>
      <w:r>
        <w:t>F.</w:t>
      </w:r>
      <w:r>
        <w:tab/>
        <w:t xml:space="preserve">A statement of whether the source is in compliance with 40 CFR 63, Subpart HHHHHH.  For paint stripping operations, the relevant requirements that the </w:t>
      </w:r>
      <w:proofErr w:type="spellStart"/>
      <w:r>
        <w:t>Permittee</w:t>
      </w:r>
      <w:proofErr w:type="spellEnd"/>
      <w:r>
        <w:t xml:space="preserve"> must evaluate in making this determination are specified in 40 CFR 63.11173(a) through (d).  For surface coating operations, the relevant requirements are specified in 40 CFR 63.11173(e) through (g).  Note that this permit has been written to include the requirements of 40 CFR 63, Subpart HHHHHH.</w:t>
      </w:r>
    </w:p>
    <w:p w:rsidR="009B08E6" w:rsidRDefault="009B08E6" w:rsidP="009B08E6">
      <w:pPr>
        <w:pStyle w:val="Signature"/>
        <w:ind w:left="1080"/>
      </w:pPr>
    </w:p>
    <w:p w:rsidR="009B08E6" w:rsidRDefault="009B08E6" w:rsidP="009B08E6">
      <w:pPr>
        <w:pStyle w:val="Signature"/>
        <w:ind w:left="1440" w:hanging="360"/>
      </w:pPr>
      <w:r>
        <w:t>G.</w:t>
      </w:r>
      <w:r>
        <w:tab/>
        <w:t xml:space="preserve">Because this source is an existing source, the </w:t>
      </w:r>
      <w:proofErr w:type="spellStart"/>
      <w:r>
        <w:t>Permittee</w:t>
      </w:r>
      <w:proofErr w:type="spellEnd"/>
      <w:r>
        <w:t xml:space="preserve"> may certify in the initial notification that the source is already in compliance with each of the requirements of 40 CFR 63, Subpart HHHHHH.  If the </w:t>
      </w:r>
      <w:proofErr w:type="spellStart"/>
      <w:r>
        <w:t>Permittee</w:t>
      </w:r>
      <w:proofErr w:type="spellEnd"/>
      <w:r>
        <w:t xml:space="preserve"> is certifying in the initial notification that the source is in compliance with the relevant requirements of that subpart, then it must also include a statement by a responsible official with that official’s name, title, phone number, e-mail address (if available) and signature, certifying the truth, accuracy, and completeness of the notification, a statement that the sources has complied with all the relevant standards of the subpart, and that the initial notification also serves as the “notification of compliance status”.</w:t>
      </w:r>
    </w:p>
    <w:p w:rsidR="009B08E6" w:rsidRDefault="009B08E6" w:rsidP="009B08E6">
      <w:pPr>
        <w:pStyle w:val="Signature"/>
        <w:ind w:left="720" w:hanging="360"/>
      </w:pPr>
    </w:p>
    <w:p w:rsidR="009B08E6" w:rsidRDefault="009B08E6" w:rsidP="009B08E6">
      <w:pPr>
        <w:pStyle w:val="Signature"/>
        <w:ind w:left="720" w:hanging="360"/>
      </w:pPr>
      <w:r>
        <w:t>c.</w:t>
      </w:r>
      <w:r>
        <w:tab/>
      </w:r>
      <w:r>
        <w:rPr>
          <w:i/>
        </w:rPr>
        <w:t>Annual Notification of Changes Report:</w:t>
      </w:r>
      <w:r>
        <w:t xml:space="preserve">  The </w:t>
      </w:r>
      <w:proofErr w:type="spellStart"/>
      <w:r>
        <w:t>Permittee</w:t>
      </w:r>
      <w:proofErr w:type="spellEnd"/>
      <w:r>
        <w:t xml:space="preserve"> shall submit a report, to the addresses specified in Condition </w:t>
      </w:r>
      <w:proofErr w:type="gramStart"/>
      <w:r>
        <w:t>VI(</w:t>
      </w:r>
      <w:proofErr w:type="gramEnd"/>
      <w:r>
        <w:t>a), in each calendar year in which information previously submitted in either the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9B08E6" w:rsidRDefault="009B08E6" w:rsidP="009B08E6">
      <w:pPr>
        <w:pStyle w:val="Signature"/>
        <w:ind w:left="720" w:hanging="360"/>
      </w:pPr>
    </w:p>
    <w:p w:rsidR="009B08E6" w:rsidRDefault="009B08E6" w:rsidP="009B08E6">
      <w:pPr>
        <w:pStyle w:val="Signature"/>
        <w:ind w:left="1080" w:hanging="360"/>
      </w:pPr>
      <w:r>
        <w:t>1.</w:t>
      </w:r>
      <w:r>
        <w:tab/>
        <w:t>The company’s name and the street address (physical location) of the affected source (the facility) and the street address where compliance records are maintained, if different; and</w:t>
      </w:r>
    </w:p>
    <w:p w:rsidR="009B08E6" w:rsidRDefault="009B08E6" w:rsidP="009B08E6">
      <w:pPr>
        <w:pStyle w:val="Signature"/>
        <w:ind w:left="1080" w:hanging="360"/>
      </w:pPr>
    </w:p>
    <w:p w:rsidR="009B08E6" w:rsidRDefault="009B08E6" w:rsidP="009B08E6">
      <w:pPr>
        <w:pStyle w:val="Signature"/>
        <w:ind w:left="1080" w:hanging="360"/>
      </w:pPr>
      <w:r>
        <w:t>2.</w:t>
      </w:r>
      <w: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9B08E6" w:rsidRPr="00A24EDC" w:rsidRDefault="009B08E6" w:rsidP="009B08E6">
      <w:pPr>
        <w:pStyle w:val="Signature"/>
        <w:ind w:left="1080" w:hanging="360"/>
      </w:pPr>
    </w:p>
    <w:p w:rsidR="009B08E6" w:rsidRPr="000B03EA" w:rsidRDefault="009B08E6" w:rsidP="009B08E6">
      <w:pPr>
        <w:ind w:left="720" w:hanging="360"/>
        <w:jc w:val="both"/>
      </w:pPr>
      <w:r>
        <w:lastRenderedPageBreak/>
        <w:t>c</w:t>
      </w:r>
      <w:r w:rsidRPr="000B03EA">
        <w:t>.</w:t>
      </w:r>
      <w:r w:rsidRPr="000B03EA">
        <w:tab/>
        <w:t xml:space="preserve">The </w:t>
      </w:r>
      <w:proofErr w:type="spellStart"/>
      <w:r>
        <w:t>Permittee</w:t>
      </w:r>
      <w:proofErr w:type="spellEnd"/>
      <w:r w:rsidRPr="000B03EA">
        <w:t xml:space="preserve"> shall immediately contact the Air Quality Division’s </w:t>
      </w:r>
      <w:r>
        <w:t>Compliance</w:t>
      </w:r>
      <w:r w:rsidRPr="000B03EA">
        <w:t xml:space="preserve"> and Enforcement Branch upon becoming aware of a sudden equipment failure or emergency or emissions in excess of any emission limit.</w:t>
      </w:r>
    </w:p>
    <w:p w:rsidR="009B08E6" w:rsidRPr="000B03EA" w:rsidRDefault="009B08E6" w:rsidP="009B08E6">
      <w:pPr>
        <w:jc w:val="both"/>
      </w:pPr>
    </w:p>
    <w:p w:rsidR="009B08E6" w:rsidRPr="000B03EA" w:rsidRDefault="009B08E6" w:rsidP="009B08E6">
      <w:pPr>
        <w:ind w:left="720" w:hanging="360"/>
        <w:jc w:val="both"/>
      </w:pPr>
      <w:r>
        <w:t>d.</w:t>
      </w:r>
      <w:r>
        <w:tab/>
      </w:r>
      <w:r w:rsidRPr="000B03EA">
        <w:t>In addition to complying with Condition VI(</w:t>
      </w:r>
      <w:r>
        <w:t>c</w:t>
      </w:r>
      <w:r w:rsidRPr="000B03EA">
        <w:t xml:space="preserve">) and any other reporting requirements mandated by the </w:t>
      </w:r>
      <w:smartTag w:uri="urn:schemas-microsoft-com:office:smarttags" w:element="place">
        <w:smartTag w:uri="urn:schemas-microsoft-com:office:smarttags" w:element="State">
          <w:r w:rsidRPr="000B03EA">
            <w:t>District of Columbia</w:t>
          </w:r>
        </w:smartTag>
      </w:smartTag>
      <w:r w:rsidRPr="000B03EA">
        <w:t>, the owner or operator shall, within thirty (30) calendar days of becoming aware of any occurrence of excess emissions, supply the Department of the Environment in writing with the following information:</w:t>
      </w:r>
    </w:p>
    <w:p w:rsidR="009B08E6" w:rsidRPr="000B03EA" w:rsidRDefault="009B08E6" w:rsidP="009B08E6">
      <w:pPr>
        <w:jc w:val="both"/>
      </w:pPr>
    </w:p>
    <w:p w:rsidR="009B08E6" w:rsidRDefault="009B08E6" w:rsidP="009B08E6">
      <w:pPr>
        <w:numPr>
          <w:ilvl w:val="2"/>
          <w:numId w:val="3"/>
        </w:numPr>
        <w:tabs>
          <w:tab w:val="clear" w:pos="1224"/>
          <w:tab w:val="left" w:pos="144"/>
          <w:tab w:val="num" w:pos="1080"/>
        </w:tabs>
        <w:ind w:left="1080" w:hanging="360"/>
        <w:jc w:val="both"/>
      </w:pPr>
      <w:r w:rsidRPr="000B03EA">
        <w:t>The name and location of the facility;</w:t>
      </w:r>
    </w:p>
    <w:p w:rsidR="009B08E6" w:rsidRPr="000B03EA" w:rsidRDefault="009B08E6" w:rsidP="009B08E6">
      <w:pPr>
        <w:tabs>
          <w:tab w:val="left" w:pos="144"/>
          <w:tab w:val="num" w:pos="1080"/>
        </w:tabs>
        <w:ind w:left="720"/>
        <w:jc w:val="both"/>
      </w:pPr>
    </w:p>
    <w:p w:rsidR="009B08E6" w:rsidRDefault="009B08E6" w:rsidP="009B08E6">
      <w:pPr>
        <w:numPr>
          <w:ilvl w:val="2"/>
          <w:numId w:val="3"/>
        </w:numPr>
        <w:tabs>
          <w:tab w:val="clear" w:pos="1224"/>
          <w:tab w:val="left" w:pos="144"/>
          <w:tab w:val="num" w:pos="1080"/>
        </w:tabs>
        <w:ind w:left="1080" w:hanging="360"/>
        <w:jc w:val="both"/>
      </w:pPr>
      <w:r w:rsidRPr="000B03EA">
        <w:t>The subject source(s) that failed, experienced the emergency, or caused the excess emissions;</w:t>
      </w:r>
    </w:p>
    <w:p w:rsidR="009B08E6" w:rsidRPr="000B03EA" w:rsidRDefault="009B08E6" w:rsidP="009B08E6">
      <w:pPr>
        <w:tabs>
          <w:tab w:val="left" w:pos="144"/>
          <w:tab w:val="num" w:pos="1080"/>
        </w:tabs>
        <w:ind w:left="720"/>
        <w:jc w:val="both"/>
      </w:pPr>
    </w:p>
    <w:p w:rsidR="009B08E6" w:rsidRDefault="009B08E6" w:rsidP="009B08E6">
      <w:pPr>
        <w:numPr>
          <w:ilvl w:val="2"/>
          <w:numId w:val="3"/>
        </w:numPr>
        <w:tabs>
          <w:tab w:val="clear" w:pos="1224"/>
          <w:tab w:val="left" w:pos="144"/>
          <w:tab w:val="num" w:pos="1080"/>
        </w:tabs>
        <w:ind w:left="1080" w:hanging="360"/>
        <w:jc w:val="both"/>
      </w:pPr>
      <w:r w:rsidRPr="000B03EA">
        <w:t>The time and date of the first observation of the equipment failure, emergency, or excess emissions;</w:t>
      </w:r>
    </w:p>
    <w:p w:rsidR="009B08E6" w:rsidRPr="000B03EA" w:rsidRDefault="009B08E6" w:rsidP="009B08E6">
      <w:pPr>
        <w:tabs>
          <w:tab w:val="left" w:pos="144"/>
          <w:tab w:val="num" w:pos="1080"/>
        </w:tabs>
        <w:ind w:left="720"/>
        <w:jc w:val="both"/>
      </w:pPr>
    </w:p>
    <w:p w:rsidR="009B08E6" w:rsidRDefault="009B08E6" w:rsidP="009B08E6">
      <w:pPr>
        <w:numPr>
          <w:ilvl w:val="2"/>
          <w:numId w:val="3"/>
        </w:numPr>
        <w:tabs>
          <w:tab w:val="clear" w:pos="1224"/>
          <w:tab w:val="left" w:pos="144"/>
          <w:tab w:val="num" w:pos="1080"/>
        </w:tabs>
        <w:jc w:val="both"/>
      </w:pPr>
      <w:r w:rsidRPr="000B03EA">
        <w:t>The cause and estimate/expected duration of the excess emissions (if applicable); and</w:t>
      </w:r>
    </w:p>
    <w:p w:rsidR="009B08E6" w:rsidRPr="000B03EA" w:rsidRDefault="009B08E6" w:rsidP="009B08E6">
      <w:pPr>
        <w:tabs>
          <w:tab w:val="left" w:pos="144"/>
          <w:tab w:val="num" w:pos="1080"/>
        </w:tabs>
        <w:ind w:left="720"/>
        <w:jc w:val="both"/>
      </w:pPr>
    </w:p>
    <w:p w:rsidR="008C344E" w:rsidRPr="000B03EA" w:rsidRDefault="009B08E6" w:rsidP="009B08E6">
      <w:pPr>
        <w:pStyle w:val="ListParagraph"/>
        <w:numPr>
          <w:ilvl w:val="2"/>
          <w:numId w:val="3"/>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9B08E6" w:rsidRDefault="009B08E6" w:rsidP="00313546">
      <w:pPr>
        <w:pStyle w:val="Signature"/>
      </w:pPr>
    </w:p>
    <w:p w:rsidR="00313546" w:rsidRPr="000D0EC5" w:rsidRDefault="00313546" w:rsidP="00313546">
      <w:pPr>
        <w:pStyle w:val="Signature"/>
      </w:pPr>
      <w:r w:rsidRPr="000D0EC5">
        <w:t xml:space="preserve">If there are any further questions, please call </w:t>
      </w:r>
      <w:r>
        <w:t xml:space="preserve">me at (202) 535-1747 or </w:t>
      </w:r>
      <w:r w:rsidRPr="000D0EC5">
        <w:t>Olivia Achuk</w:t>
      </w:r>
      <w:r>
        <w:t>o</w:t>
      </w:r>
      <w:r w:rsidRPr="000D0EC5">
        <w:t xml:space="preserve"> at (202) 535-2997.</w:t>
      </w:r>
    </w:p>
    <w:p w:rsidR="00313546" w:rsidRPr="000D0EC5" w:rsidRDefault="00313546" w:rsidP="00313546">
      <w:pPr>
        <w:pStyle w:val="Signature"/>
      </w:pPr>
    </w:p>
    <w:p w:rsidR="00313546" w:rsidRPr="000D0EC5" w:rsidRDefault="009B08E6" w:rsidP="00313546">
      <w:pPr>
        <w:pStyle w:val="Signature"/>
      </w:pPr>
      <w:r>
        <w:t>Sincerely,</w:t>
      </w:r>
    </w:p>
    <w:p w:rsidR="00313546" w:rsidRPr="000D0EC5" w:rsidRDefault="00313546" w:rsidP="00313546">
      <w:pPr>
        <w:pStyle w:val="Signature"/>
      </w:pPr>
    </w:p>
    <w:p w:rsidR="00313546" w:rsidRDefault="00313546" w:rsidP="00313546">
      <w:pPr>
        <w:pStyle w:val="Signature"/>
      </w:pPr>
    </w:p>
    <w:p w:rsidR="00313546" w:rsidRPr="000D0EC5" w:rsidRDefault="00313546" w:rsidP="00313546">
      <w:pPr>
        <w:pStyle w:val="Signature"/>
      </w:pPr>
    </w:p>
    <w:p w:rsidR="00313546" w:rsidRDefault="00313546" w:rsidP="00313546">
      <w:pPr>
        <w:pStyle w:val="Signature"/>
      </w:pPr>
      <w:r w:rsidRPr="000D0EC5">
        <w:t xml:space="preserve">Stephen S. Ours, </w:t>
      </w:r>
      <w:r>
        <w:t>P.E.</w:t>
      </w:r>
    </w:p>
    <w:p w:rsidR="00313546" w:rsidRPr="000D0EC5" w:rsidRDefault="00313546" w:rsidP="00313546">
      <w:pPr>
        <w:pStyle w:val="Signature"/>
      </w:pPr>
      <w:r w:rsidRPr="000D0EC5">
        <w:t>Chief</w:t>
      </w:r>
      <w:r>
        <w:t xml:space="preserve">, </w:t>
      </w:r>
      <w:r w:rsidRPr="000D0EC5">
        <w:t>Permitting Branch</w:t>
      </w:r>
    </w:p>
    <w:p w:rsidR="00313546" w:rsidRPr="000D0EC5" w:rsidRDefault="00313546" w:rsidP="00313546">
      <w:pPr>
        <w:pStyle w:val="Signature"/>
      </w:pPr>
    </w:p>
    <w:p w:rsidR="00313546" w:rsidRPr="00577838" w:rsidRDefault="00313546" w:rsidP="00313546">
      <w:pPr>
        <w:pStyle w:val="Header"/>
      </w:pPr>
      <w:r w:rsidRPr="00577838">
        <w:t>SSO</w:t>
      </w:r>
      <w:proofErr w:type="gramStart"/>
      <w:r w:rsidRPr="00577838">
        <w:t>:NOA</w:t>
      </w:r>
      <w:proofErr w:type="gramEnd"/>
    </w:p>
    <w:p w:rsidR="001641FD" w:rsidRDefault="001641FD" w:rsidP="008B0C80">
      <w:pPr>
        <w:ind w:left="1440" w:hanging="360"/>
      </w:pPr>
    </w:p>
    <w:sectPr w:rsidR="001641FD" w:rsidSect="00DE06DE">
      <w:headerReference w:type="default" r:id="rId13"/>
      <w:headerReference w:type="first" r:id="rId14"/>
      <w:footerReference w:type="first" r:id="rId15"/>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71" w:rsidRDefault="00342A71">
      <w:r>
        <w:separator/>
      </w:r>
    </w:p>
  </w:endnote>
  <w:endnote w:type="continuationSeparator" w:id="0">
    <w:p w:rsidR="00342A71" w:rsidRDefault="0034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DE" w:rsidRPr="00A67445" w:rsidRDefault="00DE06DE" w:rsidP="00DE06DE">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2336" behindDoc="1" locked="0" layoutInCell="1" allowOverlap="1" wp14:anchorId="75990056" wp14:editId="09AED0B7">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page">
                <wp:posOffset>1914525</wp:posOffset>
              </wp:positionH>
              <wp:positionV relativeFrom="paragraph">
                <wp:posOffset>-125095</wp:posOffset>
              </wp:positionV>
              <wp:extent cx="4676775" cy="0"/>
              <wp:effectExtent l="9525" t="18415" r="9525"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ROHQIAADc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-829310</wp:posOffset>
              </wp:positionV>
              <wp:extent cx="6791325" cy="619125"/>
              <wp:effectExtent l="0" t="0" r="4445"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Iyi3Vn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61312" behindDoc="1" locked="0" layoutInCell="1" allowOverlap="1" wp14:anchorId="1289BE7F" wp14:editId="495DC296">
          <wp:simplePos x="0" y="0"/>
          <wp:positionH relativeFrom="column">
            <wp:posOffset>-476250</wp:posOffset>
          </wp:positionH>
          <wp:positionV relativeFrom="paragraph">
            <wp:posOffset>-810260</wp:posOffset>
          </wp:positionV>
          <wp:extent cx="2371725" cy="952500"/>
          <wp:effectExtent l="0" t="0" r="0"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8044DA" w:rsidRDefault="0080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71" w:rsidRDefault="00342A71">
      <w:r>
        <w:separator/>
      </w:r>
    </w:p>
  </w:footnote>
  <w:footnote w:type="continuationSeparator" w:id="0">
    <w:p w:rsidR="00342A71" w:rsidRDefault="00342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46" w:rsidRDefault="00313546" w:rsidP="00313546">
    <w:pPr>
      <w:pStyle w:val="Header"/>
      <w:rPr>
        <w:b/>
      </w:rPr>
    </w:pPr>
    <w:r>
      <w:rPr>
        <w:b/>
      </w:rPr>
      <w:t>W</w:t>
    </w:r>
    <w:r w:rsidR="00855092">
      <w:rPr>
        <w:b/>
      </w:rPr>
      <w:t>ashington Metropolitan Area Transit Authority</w:t>
    </w:r>
  </w:p>
  <w:p w:rsidR="00855092" w:rsidRPr="002239AA" w:rsidRDefault="00855092" w:rsidP="00313546">
    <w:pPr>
      <w:pStyle w:val="Header"/>
      <w:rPr>
        <w:b/>
      </w:rPr>
    </w:pPr>
    <w:r>
      <w:rPr>
        <w:b/>
      </w:rPr>
      <w:t>Shepherd Parkway Bus Facility</w:t>
    </w:r>
  </w:p>
  <w:p w:rsidR="00313546" w:rsidRDefault="00313546" w:rsidP="00313546">
    <w:pPr>
      <w:pStyle w:val="Header"/>
      <w:rPr>
        <w:b/>
      </w:rPr>
    </w:pPr>
    <w:r>
      <w:rPr>
        <w:b/>
        <w:bCs/>
      </w:rPr>
      <w:t>Permit #6554</w:t>
    </w:r>
    <w:r w:rsidR="0062796B">
      <w:rPr>
        <w:b/>
        <w:bCs/>
      </w:rPr>
      <w:t>-R1</w:t>
    </w:r>
    <w:r w:rsidRPr="00C43D50">
      <w:rPr>
        <w:b/>
        <w:bCs/>
      </w:rPr>
      <w:t xml:space="preserve"> to Operate a</w:t>
    </w:r>
    <w:r>
      <w:rPr>
        <w:b/>
        <w:bCs/>
      </w:rPr>
      <w:t xml:space="preserve"> Spray</w:t>
    </w:r>
    <w:r w:rsidRPr="00C43D50">
      <w:rPr>
        <w:b/>
        <w:bCs/>
      </w:rPr>
      <w:t xml:space="preserve"> Paint Booth</w:t>
    </w:r>
    <w:r w:rsidRPr="00C43D50">
      <w:rPr>
        <w:b/>
      </w:rPr>
      <w:t xml:space="preserve"> </w:t>
    </w:r>
  </w:p>
  <w:p w:rsidR="00313546" w:rsidRPr="002239AA" w:rsidRDefault="00DE06DE" w:rsidP="00313546">
    <w:pPr>
      <w:pStyle w:val="Header"/>
    </w:pPr>
    <w:r>
      <w:t>May 19</w:t>
    </w:r>
    <w:r w:rsidR="0062796B">
      <w:t>, 2015</w:t>
    </w:r>
  </w:p>
  <w:p w:rsidR="008B0C80" w:rsidRPr="005B24E6" w:rsidRDefault="008B0C80" w:rsidP="008B0C80">
    <w:pPr>
      <w:pStyle w:val="Header"/>
    </w:pPr>
    <w:r w:rsidRPr="005B24E6">
      <w:t xml:space="preserve">Page </w:t>
    </w:r>
    <w:r w:rsidR="005849B6">
      <w:fldChar w:fldCharType="begin"/>
    </w:r>
    <w:r w:rsidR="00D410AB">
      <w:instrText xml:space="preserve"> PAGE </w:instrText>
    </w:r>
    <w:r w:rsidR="005849B6">
      <w:fldChar w:fldCharType="separate"/>
    </w:r>
    <w:r w:rsidR="00B8081C">
      <w:rPr>
        <w:noProof/>
      </w:rPr>
      <w:t>2</w:t>
    </w:r>
    <w:r w:rsidR="005849B6">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14:anchorId="44214379" wp14:editId="4B263FB0">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85EE2"/>
    <w:multiLevelType w:val="hybridMultilevel"/>
    <w:tmpl w:val="1A347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42939"/>
    <w:rsid w:val="0005177E"/>
    <w:rsid w:val="00071F3B"/>
    <w:rsid w:val="000938C8"/>
    <w:rsid w:val="001146D1"/>
    <w:rsid w:val="00117635"/>
    <w:rsid w:val="0015436E"/>
    <w:rsid w:val="001641FD"/>
    <w:rsid w:val="00177B6C"/>
    <w:rsid w:val="001A2D01"/>
    <w:rsid w:val="001E13ED"/>
    <w:rsid w:val="001F715E"/>
    <w:rsid w:val="00271FB2"/>
    <w:rsid w:val="00273CAE"/>
    <w:rsid w:val="002908A0"/>
    <w:rsid w:val="002A2D87"/>
    <w:rsid w:val="002B0008"/>
    <w:rsid w:val="002D0497"/>
    <w:rsid w:val="002E239A"/>
    <w:rsid w:val="002E37D1"/>
    <w:rsid w:val="00313546"/>
    <w:rsid w:val="0032458A"/>
    <w:rsid w:val="00342A71"/>
    <w:rsid w:val="00357FDA"/>
    <w:rsid w:val="00364338"/>
    <w:rsid w:val="00367CDF"/>
    <w:rsid w:val="0037040D"/>
    <w:rsid w:val="00377959"/>
    <w:rsid w:val="003B121B"/>
    <w:rsid w:val="003B2CC6"/>
    <w:rsid w:val="003E7017"/>
    <w:rsid w:val="00451564"/>
    <w:rsid w:val="00462A6E"/>
    <w:rsid w:val="004A1250"/>
    <w:rsid w:val="004C41B1"/>
    <w:rsid w:val="004D1B50"/>
    <w:rsid w:val="004E4A22"/>
    <w:rsid w:val="004F7D23"/>
    <w:rsid w:val="00561103"/>
    <w:rsid w:val="0056640B"/>
    <w:rsid w:val="0057729C"/>
    <w:rsid w:val="005849B6"/>
    <w:rsid w:val="005A2EC4"/>
    <w:rsid w:val="005C17C2"/>
    <w:rsid w:val="005C56C9"/>
    <w:rsid w:val="005D2B8D"/>
    <w:rsid w:val="0060614A"/>
    <w:rsid w:val="0062796B"/>
    <w:rsid w:val="00653218"/>
    <w:rsid w:val="006764AE"/>
    <w:rsid w:val="00693F63"/>
    <w:rsid w:val="00723B5D"/>
    <w:rsid w:val="0073637C"/>
    <w:rsid w:val="00737C82"/>
    <w:rsid w:val="00785ED5"/>
    <w:rsid w:val="007A6215"/>
    <w:rsid w:val="007F35DA"/>
    <w:rsid w:val="008044DA"/>
    <w:rsid w:val="00811B61"/>
    <w:rsid w:val="008258F6"/>
    <w:rsid w:val="00855092"/>
    <w:rsid w:val="00882CD3"/>
    <w:rsid w:val="008B0C80"/>
    <w:rsid w:val="008B769D"/>
    <w:rsid w:val="008C344E"/>
    <w:rsid w:val="008C4106"/>
    <w:rsid w:val="008C7A19"/>
    <w:rsid w:val="008D399E"/>
    <w:rsid w:val="008E0BA3"/>
    <w:rsid w:val="009247DE"/>
    <w:rsid w:val="00950713"/>
    <w:rsid w:val="00964562"/>
    <w:rsid w:val="00964C32"/>
    <w:rsid w:val="00965454"/>
    <w:rsid w:val="00970EE1"/>
    <w:rsid w:val="00980317"/>
    <w:rsid w:val="009813D6"/>
    <w:rsid w:val="009A1CA4"/>
    <w:rsid w:val="009A2249"/>
    <w:rsid w:val="009B0147"/>
    <w:rsid w:val="009B08E6"/>
    <w:rsid w:val="009B0D9E"/>
    <w:rsid w:val="009B5736"/>
    <w:rsid w:val="009C06D1"/>
    <w:rsid w:val="009D04BA"/>
    <w:rsid w:val="00A147AA"/>
    <w:rsid w:val="00A25BF7"/>
    <w:rsid w:val="00A37A8B"/>
    <w:rsid w:val="00A405D7"/>
    <w:rsid w:val="00A40DB4"/>
    <w:rsid w:val="00A41781"/>
    <w:rsid w:val="00A44B62"/>
    <w:rsid w:val="00A47251"/>
    <w:rsid w:val="00A533B7"/>
    <w:rsid w:val="00A67445"/>
    <w:rsid w:val="00A779B6"/>
    <w:rsid w:val="00A8011B"/>
    <w:rsid w:val="00A8483C"/>
    <w:rsid w:val="00A8624D"/>
    <w:rsid w:val="00A94AA8"/>
    <w:rsid w:val="00A9559E"/>
    <w:rsid w:val="00AB1DD3"/>
    <w:rsid w:val="00AB1F9A"/>
    <w:rsid w:val="00AD261D"/>
    <w:rsid w:val="00AE1998"/>
    <w:rsid w:val="00AF1F64"/>
    <w:rsid w:val="00B26DCC"/>
    <w:rsid w:val="00B331FC"/>
    <w:rsid w:val="00B521D5"/>
    <w:rsid w:val="00B576E1"/>
    <w:rsid w:val="00B57DAE"/>
    <w:rsid w:val="00B8081C"/>
    <w:rsid w:val="00B87ED0"/>
    <w:rsid w:val="00BE28F6"/>
    <w:rsid w:val="00BF45D3"/>
    <w:rsid w:val="00C0764F"/>
    <w:rsid w:val="00C20D4F"/>
    <w:rsid w:val="00C227B4"/>
    <w:rsid w:val="00C4585C"/>
    <w:rsid w:val="00C55697"/>
    <w:rsid w:val="00C60895"/>
    <w:rsid w:val="00CC77E5"/>
    <w:rsid w:val="00CE5B65"/>
    <w:rsid w:val="00CF3CF1"/>
    <w:rsid w:val="00D15D6D"/>
    <w:rsid w:val="00D33BFC"/>
    <w:rsid w:val="00D40D15"/>
    <w:rsid w:val="00D40F43"/>
    <w:rsid w:val="00D410AB"/>
    <w:rsid w:val="00D433E9"/>
    <w:rsid w:val="00D57CB4"/>
    <w:rsid w:val="00D61EB8"/>
    <w:rsid w:val="00D717A9"/>
    <w:rsid w:val="00D749C3"/>
    <w:rsid w:val="00D74A9D"/>
    <w:rsid w:val="00D850F1"/>
    <w:rsid w:val="00D85C17"/>
    <w:rsid w:val="00D9183E"/>
    <w:rsid w:val="00D94DF6"/>
    <w:rsid w:val="00D97487"/>
    <w:rsid w:val="00DA0273"/>
    <w:rsid w:val="00DA062F"/>
    <w:rsid w:val="00DA34F3"/>
    <w:rsid w:val="00DC5687"/>
    <w:rsid w:val="00DD72E6"/>
    <w:rsid w:val="00DE06DE"/>
    <w:rsid w:val="00DE36DB"/>
    <w:rsid w:val="00E20183"/>
    <w:rsid w:val="00E3266E"/>
    <w:rsid w:val="00E54043"/>
    <w:rsid w:val="00E54C82"/>
    <w:rsid w:val="00E866DA"/>
    <w:rsid w:val="00EB7149"/>
    <w:rsid w:val="00EC6E33"/>
    <w:rsid w:val="00EE3BEE"/>
    <w:rsid w:val="00EE47B3"/>
    <w:rsid w:val="00F0380E"/>
    <w:rsid w:val="00F151E6"/>
    <w:rsid w:val="00F205C0"/>
    <w:rsid w:val="00F251EB"/>
    <w:rsid w:val="00F309AE"/>
    <w:rsid w:val="00F64403"/>
    <w:rsid w:val="00F72407"/>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BodyTextIndent">
    <w:name w:val="Body Text Indent"/>
    <w:basedOn w:val="Normal"/>
    <w:link w:val="BodyTextIndentChar"/>
    <w:rsid w:val="00313546"/>
    <w:pPr>
      <w:spacing w:after="120"/>
      <w:ind w:left="360"/>
    </w:pPr>
    <w:rPr>
      <w:sz w:val="20"/>
      <w:szCs w:val="20"/>
    </w:rPr>
  </w:style>
  <w:style w:type="character" w:customStyle="1" w:styleId="BodyTextIndentChar">
    <w:name w:val="Body Text Indent Char"/>
    <w:basedOn w:val="DefaultParagraphFont"/>
    <w:link w:val="BodyTextIndent"/>
    <w:rsid w:val="00313546"/>
  </w:style>
  <w:style w:type="paragraph" w:styleId="ListParagraph">
    <w:name w:val="List Paragraph"/>
    <w:basedOn w:val="Normal"/>
    <w:uiPriority w:val="34"/>
    <w:qFormat/>
    <w:rsid w:val="00357FDA"/>
    <w:pPr>
      <w:ind w:left="720"/>
      <w:contextualSpacing/>
    </w:pPr>
  </w:style>
  <w:style w:type="character" w:customStyle="1" w:styleId="FooterChar">
    <w:name w:val="Footer Char"/>
    <w:basedOn w:val="DefaultParagraphFont"/>
    <w:link w:val="Footer"/>
    <w:uiPriority w:val="99"/>
    <w:rsid w:val="00DE06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BodyTextIndent">
    <w:name w:val="Body Text Indent"/>
    <w:basedOn w:val="Normal"/>
    <w:link w:val="BodyTextIndentChar"/>
    <w:rsid w:val="00313546"/>
    <w:pPr>
      <w:spacing w:after="120"/>
      <w:ind w:left="360"/>
    </w:pPr>
    <w:rPr>
      <w:sz w:val="20"/>
      <w:szCs w:val="20"/>
    </w:rPr>
  </w:style>
  <w:style w:type="character" w:customStyle="1" w:styleId="BodyTextIndentChar">
    <w:name w:val="Body Text Indent Char"/>
    <w:basedOn w:val="DefaultParagraphFont"/>
    <w:link w:val="BodyTextIndent"/>
    <w:rsid w:val="00313546"/>
  </w:style>
  <w:style w:type="paragraph" w:styleId="ListParagraph">
    <w:name w:val="List Paragraph"/>
    <w:basedOn w:val="Normal"/>
    <w:uiPriority w:val="34"/>
    <w:qFormat/>
    <w:rsid w:val="00357FDA"/>
    <w:pPr>
      <w:ind w:left="720"/>
      <w:contextualSpacing/>
    </w:pPr>
  </w:style>
  <w:style w:type="character" w:customStyle="1" w:styleId="FooterChar">
    <w:name w:val="Footer Char"/>
    <w:basedOn w:val="DefaultParagraphFont"/>
    <w:link w:val="Footer"/>
    <w:uiPriority w:val="99"/>
    <w:rsid w:val="00DE06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1544">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76617691">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FA64F-6C04-4C19-8C80-CF6B0F13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11</Pages>
  <Words>3283</Words>
  <Characters>17790</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21031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ServUS</cp:lastModifiedBy>
  <cp:revision>4</cp:revision>
  <cp:lastPrinted>2011-03-18T03:14:00Z</cp:lastPrinted>
  <dcterms:created xsi:type="dcterms:W3CDTF">2015-04-09T15:29:00Z</dcterms:created>
  <dcterms:modified xsi:type="dcterms:W3CDTF">2015-04-09T15:32:00Z</dcterms:modified>
</cp:coreProperties>
</file>