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C0F5D" w14:textId="77777777" w:rsidR="00AD72A6" w:rsidRDefault="00C269B6">
      <w:pPr>
        <w:tabs>
          <w:tab w:val="left" w:pos="6120"/>
        </w:tabs>
        <w:ind w:hanging="270"/>
        <w:jc w:val="center"/>
        <w:rPr>
          <w:b/>
          <w:smallCaps/>
        </w:rPr>
      </w:pPr>
      <w:r>
        <w:rPr>
          <w:b/>
          <w:smallCaps/>
        </w:rPr>
        <w:t>Sustainable energy Utility Advisory Board (SEUAB) Special Meeting</w:t>
      </w:r>
    </w:p>
    <w:p w14:paraId="7D46100A" w14:textId="77777777" w:rsidR="00AD72A6" w:rsidRDefault="00C269B6">
      <w:pPr>
        <w:jc w:val="center"/>
        <w:rPr>
          <w:b/>
          <w:smallCaps/>
        </w:rPr>
      </w:pPr>
      <w:r>
        <w:rPr>
          <w:b/>
          <w:smallCaps/>
        </w:rPr>
        <w:t>Tuesday, February 8, 2022</w:t>
      </w:r>
    </w:p>
    <w:p w14:paraId="03E244C0" w14:textId="77777777" w:rsidR="00AD72A6" w:rsidRDefault="00C269B6">
      <w:pPr>
        <w:ind w:left="5760" w:hanging="5760"/>
        <w:jc w:val="center"/>
      </w:pPr>
      <w:r>
        <w:rPr>
          <w:b/>
          <w:smallCaps/>
        </w:rPr>
        <w:t>10:00 AM – 12:00 PM</w:t>
      </w:r>
    </w:p>
    <w:p w14:paraId="1A7429A2" w14:textId="77777777" w:rsidR="00AD72A6" w:rsidRDefault="00AD72A6">
      <w:pPr>
        <w:ind w:left="5760" w:hanging="5760"/>
      </w:pPr>
    </w:p>
    <w:p w14:paraId="756DE1F2" w14:textId="77777777" w:rsidR="00AD72A6" w:rsidRDefault="00C269B6">
      <w:pPr>
        <w:rPr>
          <w:b/>
        </w:rPr>
      </w:pPr>
      <w:r>
        <w:rPr>
          <w:b/>
        </w:rPr>
        <w:t>Call to Order</w:t>
      </w:r>
    </w:p>
    <w:p w14:paraId="138206AA" w14:textId="77777777" w:rsidR="00AD72A6" w:rsidRDefault="00AD72A6">
      <w:pPr>
        <w:jc w:val="both"/>
      </w:pPr>
    </w:p>
    <w:p w14:paraId="7E466412" w14:textId="77777777" w:rsidR="00AD72A6" w:rsidRDefault="00C269B6">
      <w:pPr>
        <w:jc w:val="both"/>
      </w:pPr>
      <w:r>
        <w:t>Chair Bicky Corman called a quorum of the Sustainable Energy Utility Advisory Board (SEUAB or Board) at 10:13 am, February 8, 2022. This was a Microsoft Teams video conference call meeting.</w:t>
      </w:r>
    </w:p>
    <w:p w14:paraId="6D7A0F35" w14:textId="77777777" w:rsidR="00AD72A6" w:rsidRDefault="00AD72A6">
      <w:pPr>
        <w:jc w:val="both"/>
      </w:pPr>
    </w:p>
    <w:p w14:paraId="7EA64A14" w14:textId="77777777" w:rsidR="00AD72A6" w:rsidRDefault="00C269B6">
      <w:pPr>
        <w:jc w:val="both"/>
        <w:rPr>
          <w:b/>
        </w:rPr>
      </w:pPr>
      <w:r>
        <w:rPr>
          <w:b/>
        </w:rPr>
        <w:t>Roll Call/Introductions</w:t>
      </w:r>
    </w:p>
    <w:p w14:paraId="4C74DBC6" w14:textId="77777777" w:rsidR="00AD72A6" w:rsidRDefault="00AD72A6">
      <w:pPr>
        <w:jc w:val="both"/>
        <w:rPr>
          <w:b/>
        </w:rPr>
      </w:pPr>
    </w:p>
    <w:p w14:paraId="7BB29C45" w14:textId="48B8C8CA" w:rsidR="00AD72A6" w:rsidRDefault="00C269B6">
      <w:pPr>
        <w:jc w:val="both"/>
      </w:pPr>
      <w:r>
        <w:t>Roll call was taken at 10:14 am, and the following people were in attendance:</w:t>
      </w:r>
    </w:p>
    <w:p w14:paraId="0E21FD6D" w14:textId="77777777" w:rsidR="00AD72A6" w:rsidRDefault="00AD72A6">
      <w:pPr>
        <w:jc w:val="both"/>
      </w:pPr>
    </w:p>
    <w:p w14:paraId="490409E6" w14:textId="77777777" w:rsidR="00AD72A6" w:rsidRDefault="00C269B6">
      <w:pPr>
        <w:ind w:firstLine="720"/>
        <w:jc w:val="both"/>
      </w:pPr>
      <w:r>
        <w:rPr>
          <w:b/>
        </w:rPr>
        <w:t xml:space="preserve">Board Members: </w:t>
      </w:r>
    </w:p>
    <w:p w14:paraId="3AFCAB73" w14:textId="77777777" w:rsidR="00AD72A6" w:rsidRDefault="00C269B6">
      <w:pPr>
        <w:ind w:left="1440"/>
        <w:jc w:val="both"/>
        <w:rPr>
          <w:b/>
        </w:rPr>
      </w:pPr>
      <w:r>
        <w:t xml:space="preserve"> </w:t>
      </w:r>
    </w:p>
    <w:tbl>
      <w:tblPr>
        <w:tblStyle w:val="a"/>
        <w:tblW w:w="9439" w:type="dxa"/>
        <w:tblInd w:w="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59"/>
        <w:gridCol w:w="1800"/>
        <w:gridCol w:w="1980"/>
      </w:tblGrid>
      <w:tr w:rsidR="00AD72A6" w14:paraId="26BA20D8" w14:textId="77777777">
        <w:tc>
          <w:tcPr>
            <w:tcW w:w="5659" w:type="dxa"/>
          </w:tcPr>
          <w:p w14:paraId="0A4A2E07" w14:textId="77777777" w:rsidR="00AD72A6" w:rsidRDefault="00C269B6">
            <w:pPr>
              <w:jc w:val="both"/>
              <w:rPr>
                <w:b/>
              </w:rPr>
            </w:pPr>
            <w:r>
              <w:rPr>
                <w:b/>
              </w:rPr>
              <w:t>Name</w:t>
            </w:r>
          </w:p>
        </w:tc>
        <w:tc>
          <w:tcPr>
            <w:tcW w:w="1800" w:type="dxa"/>
            <w:vAlign w:val="center"/>
          </w:tcPr>
          <w:p w14:paraId="5AD46E73" w14:textId="77777777" w:rsidR="00AD72A6" w:rsidRDefault="00C269B6">
            <w:pPr>
              <w:jc w:val="center"/>
              <w:rPr>
                <w:b/>
              </w:rPr>
            </w:pPr>
            <w:r>
              <w:rPr>
                <w:b/>
              </w:rPr>
              <w:t>In Attendance?</w:t>
            </w:r>
          </w:p>
        </w:tc>
        <w:tc>
          <w:tcPr>
            <w:tcW w:w="1980" w:type="dxa"/>
            <w:vAlign w:val="center"/>
          </w:tcPr>
          <w:p w14:paraId="229E1C8D" w14:textId="77777777" w:rsidR="00AD72A6" w:rsidRDefault="00C269B6">
            <w:pPr>
              <w:jc w:val="center"/>
              <w:rPr>
                <w:b/>
              </w:rPr>
            </w:pPr>
            <w:r>
              <w:rPr>
                <w:b/>
              </w:rPr>
              <w:t>FY 2022 Attendance Record</w:t>
            </w:r>
          </w:p>
        </w:tc>
      </w:tr>
      <w:tr w:rsidR="00AD72A6" w14:paraId="67DFCF22" w14:textId="77777777">
        <w:tc>
          <w:tcPr>
            <w:tcW w:w="5659" w:type="dxa"/>
          </w:tcPr>
          <w:p w14:paraId="4D8ACD38" w14:textId="77777777" w:rsidR="00AD72A6" w:rsidRDefault="00C269B6">
            <w:pPr>
              <w:jc w:val="both"/>
            </w:pPr>
            <w:r>
              <w:t>Bicky Corman (Board Chair)</w:t>
            </w:r>
          </w:p>
        </w:tc>
        <w:tc>
          <w:tcPr>
            <w:tcW w:w="1800" w:type="dxa"/>
            <w:vAlign w:val="center"/>
          </w:tcPr>
          <w:p w14:paraId="60EFB382" w14:textId="77777777" w:rsidR="00AD72A6" w:rsidRDefault="00C269B6">
            <w:pPr>
              <w:jc w:val="center"/>
            </w:pPr>
            <w:r>
              <w:t>Yes</w:t>
            </w:r>
          </w:p>
        </w:tc>
        <w:tc>
          <w:tcPr>
            <w:tcW w:w="1980" w:type="dxa"/>
            <w:shd w:val="clear" w:color="auto" w:fill="FFFFFF"/>
            <w:vAlign w:val="center"/>
          </w:tcPr>
          <w:p w14:paraId="66C67E15" w14:textId="77777777" w:rsidR="00AD72A6" w:rsidRDefault="00C269B6">
            <w:pPr>
              <w:jc w:val="center"/>
            </w:pPr>
            <w:r>
              <w:t>7/7</w:t>
            </w:r>
          </w:p>
        </w:tc>
      </w:tr>
      <w:tr w:rsidR="00AD72A6" w14:paraId="78845444" w14:textId="77777777">
        <w:tc>
          <w:tcPr>
            <w:tcW w:w="5659" w:type="dxa"/>
          </w:tcPr>
          <w:p w14:paraId="101A2D96" w14:textId="77777777" w:rsidR="00AD72A6" w:rsidRDefault="00C269B6">
            <w:pPr>
              <w:jc w:val="both"/>
            </w:pPr>
            <w:r>
              <w:t>Millie Knowlton (Vice Chair)</w:t>
            </w:r>
          </w:p>
        </w:tc>
        <w:tc>
          <w:tcPr>
            <w:tcW w:w="1800" w:type="dxa"/>
            <w:vAlign w:val="center"/>
          </w:tcPr>
          <w:p w14:paraId="57538BFD" w14:textId="77777777" w:rsidR="00AD72A6" w:rsidRDefault="00C269B6">
            <w:pPr>
              <w:jc w:val="center"/>
            </w:pPr>
            <w:r>
              <w:t>Yes</w:t>
            </w:r>
          </w:p>
        </w:tc>
        <w:tc>
          <w:tcPr>
            <w:tcW w:w="1980" w:type="dxa"/>
            <w:shd w:val="clear" w:color="auto" w:fill="FFFFFF"/>
            <w:vAlign w:val="center"/>
          </w:tcPr>
          <w:p w14:paraId="3B2E411A" w14:textId="77777777" w:rsidR="00AD72A6" w:rsidRDefault="00C269B6">
            <w:pPr>
              <w:jc w:val="center"/>
            </w:pPr>
            <w:r>
              <w:t>6/7</w:t>
            </w:r>
          </w:p>
        </w:tc>
      </w:tr>
      <w:tr w:rsidR="00AD72A6" w14:paraId="74316AB3" w14:textId="77777777">
        <w:tc>
          <w:tcPr>
            <w:tcW w:w="5659" w:type="dxa"/>
          </w:tcPr>
          <w:p w14:paraId="07A19C08" w14:textId="77777777" w:rsidR="00AD72A6" w:rsidRDefault="00C269B6">
            <w:pPr>
              <w:jc w:val="both"/>
            </w:pPr>
            <w:r>
              <w:t>Sandra Mattavous-Frye (or OPC proxy)</w:t>
            </w:r>
          </w:p>
        </w:tc>
        <w:tc>
          <w:tcPr>
            <w:tcW w:w="1800" w:type="dxa"/>
            <w:vAlign w:val="center"/>
          </w:tcPr>
          <w:p w14:paraId="5DEBA4F6" w14:textId="77777777" w:rsidR="00AD72A6" w:rsidRDefault="00C269B6">
            <w:pPr>
              <w:jc w:val="center"/>
            </w:pPr>
            <w:r>
              <w:t>Yes</w:t>
            </w:r>
          </w:p>
        </w:tc>
        <w:tc>
          <w:tcPr>
            <w:tcW w:w="1980" w:type="dxa"/>
            <w:shd w:val="clear" w:color="auto" w:fill="FFFFFF"/>
            <w:vAlign w:val="center"/>
          </w:tcPr>
          <w:p w14:paraId="34246B34" w14:textId="77777777" w:rsidR="00AD72A6" w:rsidRDefault="00C269B6">
            <w:pPr>
              <w:jc w:val="center"/>
            </w:pPr>
            <w:r>
              <w:t>7/7</w:t>
            </w:r>
          </w:p>
        </w:tc>
      </w:tr>
      <w:tr w:rsidR="00AD72A6" w14:paraId="1FC81A20" w14:textId="77777777">
        <w:tc>
          <w:tcPr>
            <w:tcW w:w="5659" w:type="dxa"/>
          </w:tcPr>
          <w:p w14:paraId="26D759CD" w14:textId="77777777" w:rsidR="00AD72A6" w:rsidRDefault="00C269B6">
            <w:pPr>
              <w:jc w:val="both"/>
            </w:pPr>
            <w:r>
              <w:t>Cary Hinton (PSC)</w:t>
            </w:r>
          </w:p>
        </w:tc>
        <w:tc>
          <w:tcPr>
            <w:tcW w:w="1800" w:type="dxa"/>
            <w:vAlign w:val="center"/>
          </w:tcPr>
          <w:p w14:paraId="2E9CE238" w14:textId="77777777" w:rsidR="00AD72A6" w:rsidRDefault="00C269B6">
            <w:pPr>
              <w:jc w:val="center"/>
            </w:pPr>
            <w:r>
              <w:t>Yes</w:t>
            </w:r>
          </w:p>
        </w:tc>
        <w:tc>
          <w:tcPr>
            <w:tcW w:w="1980" w:type="dxa"/>
            <w:shd w:val="clear" w:color="auto" w:fill="FFFFFF"/>
            <w:vAlign w:val="center"/>
          </w:tcPr>
          <w:p w14:paraId="539F4287" w14:textId="77777777" w:rsidR="00AD72A6" w:rsidRDefault="00C269B6">
            <w:pPr>
              <w:jc w:val="center"/>
            </w:pPr>
            <w:r>
              <w:t>6/7</w:t>
            </w:r>
          </w:p>
        </w:tc>
      </w:tr>
      <w:tr w:rsidR="00AD72A6" w14:paraId="7023948D" w14:textId="77777777">
        <w:tc>
          <w:tcPr>
            <w:tcW w:w="5659" w:type="dxa"/>
          </w:tcPr>
          <w:p w14:paraId="5A9EF260" w14:textId="77777777" w:rsidR="00AD72A6" w:rsidRDefault="00C269B6">
            <w:pPr>
              <w:jc w:val="both"/>
            </w:pPr>
            <w:r>
              <w:t>Donna Cooper (Electric Company)</w:t>
            </w:r>
          </w:p>
        </w:tc>
        <w:tc>
          <w:tcPr>
            <w:tcW w:w="1800" w:type="dxa"/>
            <w:vAlign w:val="center"/>
          </w:tcPr>
          <w:p w14:paraId="1EC521EC" w14:textId="77777777" w:rsidR="00AD72A6" w:rsidRDefault="00C269B6">
            <w:pPr>
              <w:jc w:val="center"/>
            </w:pPr>
            <w:r>
              <w:t>Yes</w:t>
            </w:r>
          </w:p>
        </w:tc>
        <w:tc>
          <w:tcPr>
            <w:tcW w:w="1980" w:type="dxa"/>
            <w:shd w:val="clear" w:color="auto" w:fill="FFFFFF"/>
            <w:vAlign w:val="center"/>
          </w:tcPr>
          <w:p w14:paraId="0BB3146F" w14:textId="77777777" w:rsidR="00AD72A6" w:rsidRDefault="00C269B6">
            <w:pPr>
              <w:jc w:val="center"/>
            </w:pPr>
            <w:r>
              <w:t>7/7</w:t>
            </w:r>
          </w:p>
        </w:tc>
      </w:tr>
      <w:tr w:rsidR="00AD72A6" w14:paraId="086B763C" w14:textId="77777777">
        <w:tc>
          <w:tcPr>
            <w:tcW w:w="5659" w:type="dxa"/>
          </w:tcPr>
          <w:p w14:paraId="2006E833" w14:textId="77777777" w:rsidR="00AD72A6" w:rsidRDefault="00C269B6">
            <w:pPr>
              <w:jc w:val="both"/>
            </w:pPr>
            <w:r>
              <w:t>Eric Jones (Building)</w:t>
            </w:r>
          </w:p>
        </w:tc>
        <w:tc>
          <w:tcPr>
            <w:tcW w:w="1800" w:type="dxa"/>
            <w:vAlign w:val="center"/>
          </w:tcPr>
          <w:p w14:paraId="4406B37C" w14:textId="77777777" w:rsidR="00AD72A6" w:rsidRDefault="00C269B6">
            <w:pPr>
              <w:jc w:val="center"/>
            </w:pPr>
            <w:r>
              <w:t>Yes</w:t>
            </w:r>
          </w:p>
        </w:tc>
        <w:tc>
          <w:tcPr>
            <w:tcW w:w="1980" w:type="dxa"/>
            <w:shd w:val="clear" w:color="auto" w:fill="FFFFFF"/>
            <w:vAlign w:val="center"/>
          </w:tcPr>
          <w:p w14:paraId="50207669" w14:textId="77777777" w:rsidR="00AD72A6" w:rsidRDefault="00C269B6">
            <w:pPr>
              <w:jc w:val="center"/>
            </w:pPr>
            <w:r>
              <w:t>6/7</w:t>
            </w:r>
          </w:p>
        </w:tc>
      </w:tr>
      <w:tr w:rsidR="00AD72A6" w14:paraId="2011A081" w14:textId="77777777">
        <w:tc>
          <w:tcPr>
            <w:tcW w:w="5659" w:type="dxa"/>
          </w:tcPr>
          <w:p w14:paraId="1DA39857" w14:textId="77777777" w:rsidR="00AD72A6" w:rsidRDefault="00C269B6">
            <w:pPr>
              <w:jc w:val="both"/>
            </w:pPr>
            <w:r>
              <w:t>Nina Dodge (Environment)</w:t>
            </w:r>
          </w:p>
        </w:tc>
        <w:tc>
          <w:tcPr>
            <w:tcW w:w="1800" w:type="dxa"/>
            <w:vAlign w:val="center"/>
          </w:tcPr>
          <w:p w14:paraId="28181274" w14:textId="77777777" w:rsidR="00AD72A6" w:rsidRDefault="00C269B6">
            <w:pPr>
              <w:tabs>
                <w:tab w:val="left" w:pos="592"/>
                <w:tab w:val="center" w:pos="837"/>
              </w:tabs>
              <w:jc w:val="center"/>
            </w:pPr>
            <w:r>
              <w:t>Yes</w:t>
            </w:r>
          </w:p>
        </w:tc>
        <w:tc>
          <w:tcPr>
            <w:tcW w:w="1980" w:type="dxa"/>
            <w:shd w:val="clear" w:color="auto" w:fill="FFFFFF"/>
            <w:vAlign w:val="center"/>
          </w:tcPr>
          <w:p w14:paraId="3E88C59B" w14:textId="77777777" w:rsidR="00AD72A6" w:rsidRDefault="00C269B6">
            <w:pPr>
              <w:jc w:val="center"/>
            </w:pPr>
            <w:r>
              <w:t>7/7</w:t>
            </w:r>
          </w:p>
        </w:tc>
      </w:tr>
      <w:tr w:rsidR="00AD72A6" w14:paraId="14FA43D9" w14:textId="77777777">
        <w:tc>
          <w:tcPr>
            <w:tcW w:w="5659" w:type="dxa"/>
          </w:tcPr>
          <w:p w14:paraId="5F473C7E" w14:textId="77777777" w:rsidR="00AD72A6" w:rsidRDefault="00C269B6">
            <w:pPr>
              <w:jc w:val="both"/>
            </w:pPr>
            <w:r>
              <w:t>Marshall Duer-Balkind (Councilmember Cheh)</w:t>
            </w:r>
          </w:p>
        </w:tc>
        <w:tc>
          <w:tcPr>
            <w:tcW w:w="1800" w:type="dxa"/>
            <w:vAlign w:val="center"/>
          </w:tcPr>
          <w:p w14:paraId="4AE8A07D" w14:textId="77777777" w:rsidR="00AD72A6" w:rsidRDefault="00C269B6">
            <w:pPr>
              <w:jc w:val="center"/>
            </w:pPr>
            <w:r>
              <w:t>Yes</w:t>
            </w:r>
          </w:p>
        </w:tc>
        <w:tc>
          <w:tcPr>
            <w:tcW w:w="1980" w:type="dxa"/>
            <w:shd w:val="clear" w:color="auto" w:fill="FFFFFF"/>
            <w:vAlign w:val="center"/>
          </w:tcPr>
          <w:p w14:paraId="5961B8C5" w14:textId="77777777" w:rsidR="00AD72A6" w:rsidRDefault="00C269B6">
            <w:pPr>
              <w:jc w:val="center"/>
            </w:pPr>
            <w:r>
              <w:t>7/7</w:t>
            </w:r>
          </w:p>
        </w:tc>
      </w:tr>
      <w:tr w:rsidR="00AD72A6" w14:paraId="1A3209DC" w14:textId="77777777">
        <w:tc>
          <w:tcPr>
            <w:tcW w:w="5659" w:type="dxa"/>
          </w:tcPr>
          <w:p w14:paraId="60098CFC" w14:textId="77777777" w:rsidR="00AD72A6" w:rsidRDefault="00C269B6">
            <w:pPr>
              <w:jc w:val="both"/>
            </w:pPr>
            <w:bookmarkStart w:id="0" w:name="_heading=h.gjdgxs" w:colFirst="0" w:colLast="0"/>
            <w:bookmarkEnd w:id="0"/>
            <w:r>
              <w:t>Jamal Lewis - Low-Income Community</w:t>
            </w:r>
          </w:p>
        </w:tc>
        <w:tc>
          <w:tcPr>
            <w:tcW w:w="1800" w:type="dxa"/>
            <w:vAlign w:val="center"/>
          </w:tcPr>
          <w:p w14:paraId="69727F61" w14:textId="77777777" w:rsidR="00AD72A6" w:rsidRDefault="00C269B6">
            <w:pPr>
              <w:jc w:val="center"/>
            </w:pPr>
            <w:r>
              <w:t>Yes</w:t>
            </w:r>
          </w:p>
        </w:tc>
        <w:tc>
          <w:tcPr>
            <w:tcW w:w="1980" w:type="dxa"/>
            <w:shd w:val="clear" w:color="auto" w:fill="FFFFFF"/>
            <w:vAlign w:val="center"/>
          </w:tcPr>
          <w:p w14:paraId="688D924A" w14:textId="77777777" w:rsidR="00AD72A6" w:rsidRDefault="00C269B6">
            <w:pPr>
              <w:jc w:val="center"/>
            </w:pPr>
            <w:r>
              <w:t>5/7</w:t>
            </w:r>
          </w:p>
        </w:tc>
      </w:tr>
      <w:tr w:rsidR="00AD72A6" w14:paraId="658C5F6B" w14:textId="77777777">
        <w:tc>
          <w:tcPr>
            <w:tcW w:w="5659" w:type="dxa"/>
          </w:tcPr>
          <w:p w14:paraId="0CB102C2" w14:textId="77777777" w:rsidR="00AD72A6" w:rsidRDefault="00C269B6">
            <w:pPr>
              <w:jc w:val="both"/>
            </w:pPr>
            <w:bookmarkStart w:id="1" w:name="_heading=h.30j0zll" w:colFirst="0" w:colLast="0"/>
            <w:bookmarkEnd w:id="1"/>
            <w:r>
              <w:t>Matthias Paustian – Council Chairperson Mendelson</w:t>
            </w:r>
          </w:p>
        </w:tc>
        <w:tc>
          <w:tcPr>
            <w:tcW w:w="1800" w:type="dxa"/>
            <w:vAlign w:val="center"/>
          </w:tcPr>
          <w:p w14:paraId="7DC38B0A" w14:textId="77777777" w:rsidR="00AD72A6" w:rsidRDefault="00C269B6">
            <w:pPr>
              <w:jc w:val="center"/>
            </w:pPr>
            <w:r>
              <w:t>Yes</w:t>
            </w:r>
          </w:p>
        </w:tc>
        <w:tc>
          <w:tcPr>
            <w:tcW w:w="1980" w:type="dxa"/>
            <w:shd w:val="clear" w:color="auto" w:fill="FFFFFF"/>
            <w:vAlign w:val="center"/>
          </w:tcPr>
          <w:p w14:paraId="51B9F22C" w14:textId="77777777" w:rsidR="00AD72A6" w:rsidRDefault="00C269B6">
            <w:pPr>
              <w:jc w:val="center"/>
            </w:pPr>
            <w:r>
              <w:t>3/7</w:t>
            </w:r>
          </w:p>
        </w:tc>
      </w:tr>
      <w:tr w:rsidR="00AD72A6" w14:paraId="6AE58CAB" w14:textId="77777777">
        <w:tc>
          <w:tcPr>
            <w:tcW w:w="5659" w:type="dxa"/>
          </w:tcPr>
          <w:p w14:paraId="5535791E" w14:textId="77777777" w:rsidR="00AD72A6" w:rsidRDefault="00C269B6">
            <w:pPr>
              <w:jc w:val="both"/>
            </w:pPr>
            <w:r>
              <w:t xml:space="preserve">Mishal Thadani -Economic Development </w:t>
            </w:r>
          </w:p>
        </w:tc>
        <w:tc>
          <w:tcPr>
            <w:tcW w:w="1800" w:type="dxa"/>
            <w:vAlign w:val="center"/>
          </w:tcPr>
          <w:p w14:paraId="7F74474A" w14:textId="77777777" w:rsidR="00AD72A6" w:rsidRDefault="00C269B6">
            <w:pPr>
              <w:jc w:val="center"/>
            </w:pPr>
            <w:r>
              <w:t>Yes</w:t>
            </w:r>
          </w:p>
        </w:tc>
        <w:tc>
          <w:tcPr>
            <w:tcW w:w="1980" w:type="dxa"/>
            <w:shd w:val="clear" w:color="auto" w:fill="FFFFFF"/>
            <w:vAlign w:val="center"/>
          </w:tcPr>
          <w:p w14:paraId="2ADFE875" w14:textId="77777777" w:rsidR="00AD72A6" w:rsidRDefault="00C269B6">
            <w:pPr>
              <w:jc w:val="center"/>
            </w:pPr>
            <w:r>
              <w:t>4/7</w:t>
            </w:r>
          </w:p>
        </w:tc>
      </w:tr>
      <w:tr w:rsidR="00AD72A6" w14:paraId="201D8D35" w14:textId="77777777">
        <w:tc>
          <w:tcPr>
            <w:tcW w:w="5659" w:type="dxa"/>
          </w:tcPr>
          <w:p w14:paraId="035276DC" w14:textId="77777777" w:rsidR="00AD72A6" w:rsidRDefault="00C269B6">
            <w:pPr>
              <w:jc w:val="both"/>
            </w:pPr>
            <w:r>
              <w:t>Sasha Srivastava - Renewable Energy</w:t>
            </w:r>
          </w:p>
        </w:tc>
        <w:tc>
          <w:tcPr>
            <w:tcW w:w="1800" w:type="dxa"/>
            <w:vAlign w:val="center"/>
          </w:tcPr>
          <w:p w14:paraId="0DA6776B" w14:textId="77777777" w:rsidR="00AD72A6" w:rsidRDefault="00C269B6">
            <w:pPr>
              <w:jc w:val="center"/>
            </w:pPr>
            <w:r>
              <w:t>Yes</w:t>
            </w:r>
          </w:p>
        </w:tc>
        <w:tc>
          <w:tcPr>
            <w:tcW w:w="1980" w:type="dxa"/>
            <w:shd w:val="clear" w:color="auto" w:fill="FFFFFF"/>
            <w:vAlign w:val="center"/>
          </w:tcPr>
          <w:p w14:paraId="463FFEC4" w14:textId="77777777" w:rsidR="00AD72A6" w:rsidRDefault="00C269B6">
            <w:pPr>
              <w:jc w:val="center"/>
            </w:pPr>
            <w:r>
              <w:t>5/7</w:t>
            </w:r>
          </w:p>
        </w:tc>
      </w:tr>
      <w:tr w:rsidR="00AD72A6" w14:paraId="0A25746C" w14:textId="77777777">
        <w:tc>
          <w:tcPr>
            <w:tcW w:w="5659" w:type="dxa"/>
          </w:tcPr>
          <w:p w14:paraId="28BEE23A" w14:textId="5AFC8E61" w:rsidR="00AD72A6" w:rsidRDefault="00E9581F">
            <w:pPr>
              <w:jc w:val="both"/>
              <w:rPr>
                <w:b/>
              </w:rPr>
            </w:pPr>
            <w:r>
              <w:rPr>
                <w:b/>
              </w:rPr>
              <w:t>Vacant</w:t>
            </w:r>
            <w:r w:rsidR="00C269B6">
              <w:rPr>
                <w:b/>
              </w:rPr>
              <w:t xml:space="preserve"> </w:t>
            </w:r>
            <w:r>
              <w:rPr>
                <w:b/>
              </w:rPr>
              <w:t>(Gas Utility)</w:t>
            </w:r>
          </w:p>
        </w:tc>
        <w:tc>
          <w:tcPr>
            <w:tcW w:w="1800" w:type="dxa"/>
            <w:vAlign w:val="center"/>
          </w:tcPr>
          <w:p w14:paraId="3DF998D9" w14:textId="77B0214A" w:rsidR="00AD72A6" w:rsidRDefault="00E9581F">
            <w:pPr>
              <w:jc w:val="center"/>
            </w:pPr>
            <w:r>
              <w:t>No</w:t>
            </w:r>
          </w:p>
        </w:tc>
        <w:tc>
          <w:tcPr>
            <w:tcW w:w="1980" w:type="dxa"/>
            <w:shd w:val="clear" w:color="auto" w:fill="FFFFFF"/>
            <w:vAlign w:val="center"/>
          </w:tcPr>
          <w:p w14:paraId="2B698524" w14:textId="5573CCA7" w:rsidR="00AD72A6" w:rsidRDefault="00E9581F">
            <w:pPr>
              <w:jc w:val="center"/>
            </w:pPr>
            <w:r>
              <w:t>0/7</w:t>
            </w:r>
          </w:p>
        </w:tc>
      </w:tr>
    </w:tbl>
    <w:p w14:paraId="49A2A8C6" w14:textId="77777777" w:rsidR="00AD72A6" w:rsidRDefault="00AD72A6">
      <w:pPr>
        <w:ind w:left="720"/>
        <w:jc w:val="both"/>
        <w:rPr>
          <w:b/>
        </w:rPr>
      </w:pPr>
    </w:p>
    <w:p w14:paraId="00319A23" w14:textId="2C15A7A0" w:rsidR="00AD72A6" w:rsidRDefault="00C269B6">
      <w:pPr>
        <w:ind w:right="18"/>
        <w:jc w:val="both"/>
      </w:pPr>
      <w:r>
        <w:rPr>
          <w:b/>
        </w:rPr>
        <w:t xml:space="preserve">Other Attendees: </w:t>
      </w:r>
      <w:r>
        <w:t>Angela Johnson (DCSEU),</w:t>
      </w:r>
      <w:r>
        <w:rPr>
          <w:b/>
        </w:rPr>
        <w:t xml:space="preserve"> </w:t>
      </w:r>
      <w:r>
        <w:t>Lance Loncke (Sr. Program Analyst, DOEE); Dave Epley (Associate Director, DOEE); Patti Boyd (DCSEU); Sarah Kogel-Smucker (OPC); Yohannes Mariam (OPC); LaKeisha Lockwood (DOEE); Theodore Trabue (DCSEU); Brandon Bowles (DCSEU); Daniel Conner (DOEE); Karen Sistrunk (OPC); Hussain Karim (DOEE); Tamara Christopher (DCSEU); Yohannes Mariam (OPC); Zoe Heller (DCSEU); Crystal McDonald (DCSEU); Lillia Abron (PEER/DCSEU); Rick Fleury (DCSEU); Ed Brady (PEER/DCSEU)</w:t>
      </w:r>
      <w:r w:rsidR="00E9581F">
        <w:t>; Manny Geraldo (Washington Gas)</w:t>
      </w:r>
    </w:p>
    <w:p w14:paraId="4375A848" w14:textId="77777777" w:rsidR="00AD72A6" w:rsidRDefault="00AD72A6">
      <w:pPr>
        <w:ind w:right="18"/>
        <w:jc w:val="both"/>
        <w:rPr>
          <w:b/>
        </w:rPr>
      </w:pPr>
    </w:p>
    <w:p w14:paraId="13C5AA93" w14:textId="77777777" w:rsidR="00AD72A6" w:rsidRDefault="00C269B6">
      <w:pPr>
        <w:ind w:right="18"/>
        <w:jc w:val="both"/>
        <w:rPr>
          <w:b/>
        </w:rPr>
      </w:pPr>
      <w:r>
        <w:rPr>
          <w:b/>
        </w:rPr>
        <w:t>Approval of Agenda</w:t>
      </w:r>
    </w:p>
    <w:p w14:paraId="212D89C5" w14:textId="77777777" w:rsidR="00AD72A6" w:rsidRDefault="00C269B6">
      <w:pPr>
        <w:ind w:right="18"/>
        <w:jc w:val="both"/>
      </w:pPr>
      <w:r>
        <w:t xml:space="preserve">10:21am Nina Dodge moved to move the Overview of the DCSEU Strategic Plan up on the agenda after approval of the meeting minutes and approve the agenda. Donna Cooper seconded the motion. </w:t>
      </w:r>
    </w:p>
    <w:p w14:paraId="6B0AFF2A" w14:textId="77777777" w:rsidR="00AD72A6" w:rsidRDefault="00C269B6">
      <w:pPr>
        <w:numPr>
          <w:ilvl w:val="0"/>
          <w:numId w:val="2"/>
        </w:numPr>
        <w:pBdr>
          <w:top w:val="nil"/>
          <w:left w:val="nil"/>
          <w:bottom w:val="nil"/>
          <w:right w:val="nil"/>
          <w:between w:val="nil"/>
        </w:pBdr>
        <w:ind w:right="18"/>
        <w:jc w:val="both"/>
        <w:rPr>
          <w:b/>
          <w:color w:val="000000"/>
        </w:rPr>
      </w:pPr>
      <w:r>
        <w:rPr>
          <w:color w:val="000000"/>
        </w:rPr>
        <w:t>All were in favor, none opposed</w:t>
      </w:r>
    </w:p>
    <w:p w14:paraId="1FEBDBBB" w14:textId="77777777" w:rsidR="00AD72A6" w:rsidRDefault="00AD72A6">
      <w:pPr>
        <w:ind w:right="18"/>
        <w:jc w:val="both"/>
      </w:pPr>
    </w:p>
    <w:p w14:paraId="365956F2" w14:textId="77777777" w:rsidR="00AD72A6" w:rsidRDefault="00AD72A6">
      <w:pPr>
        <w:ind w:right="18"/>
        <w:jc w:val="both"/>
      </w:pPr>
    </w:p>
    <w:p w14:paraId="1C695CBB" w14:textId="77777777" w:rsidR="00AD72A6" w:rsidRDefault="00C269B6">
      <w:pPr>
        <w:ind w:right="18"/>
        <w:jc w:val="both"/>
        <w:rPr>
          <w:b/>
        </w:rPr>
      </w:pPr>
      <w:r>
        <w:rPr>
          <w:b/>
        </w:rPr>
        <w:t xml:space="preserve">Approval of December Special/ January Meeting Minutes </w:t>
      </w:r>
    </w:p>
    <w:p w14:paraId="11172B1B" w14:textId="77777777" w:rsidR="00AD72A6" w:rsidRDefault="00C269B6">
      <w:pPr>
        <w:numPr>
          <w:ilvl w:val="0"/>
          <w:numId w:val="1"/>
        </w:numPr>
        <w:pBdr>
          <w:top w:val="nil"/>
          <w:left w:val="nil"/>
          <w:bottom w:val="nil"/>
          <w:right w:val="nil"/>
          <w:between w:val="nil"/>
        </w:pBdr>
        <w:ind w:right="18"/>
        <w:jc w:val="both"/>
        <w:rPr>
          <w:b/>
          <w:color w:val="000000"/>
        </w:rPr>
      </w:pPr>
      <w:r>
        <w:rPr>
          <w:color w:val="000000"/>
        </w:rPr>
        <w:t xml:space="preserve">Spell out SEICBP State Energy </w:t>
      </w:r>
    </w:p>
    <w:p w14:paraId="40DD74FD" w14:textId="77777777" w:rsidR="00AD72A6" w:rsidRDefault="00C269B6">
      <w:pPr>
        <w:numPr>
          <w:ilvl w:val="0"/>
          <w:numId w:val="1"/>
        </w:numPr>
        <w:pBdr>
          <w:top w:val="nil"/>
          <w:left w:val="nil"/>
          <w:bottom w:val="nil"/>
          <w:right w:val="nil"/>
          <w:between w:val="nil"/>
        </w:pBdr>
        <w:ind w:right="18"/>
        <w:jc w:val="both"/>
        <w:rPr>
          <w:b/>
          <w:color w:val="000000"/>
        </w:rPr>
      </w:pPr>
      <w:r>
        <w:rPr>
          <w:color w:val="000000"/>
        </w:rPr>
        <w:t xml:space="preserve">Under </w:t>
      </w:r>
      <w:r>
        <w:rPr>
          <w:b/>
          <w:color w:val="000000"/>
        </w:rPr>
        <w:t xml:space="preserve">Discussion of Issues for SEUAB for FY22 </w:t>
      </w:r>
      <w:r>
        <w:rPr>
          <w:color w:val="000000"/>
        </w:rPr>
        <w:t>bullet 4 insert DC CBE requirements</w:t>
      </w:r>
    </w:p>
    <w:p w14:paraId="0ADDE102" w14:textId="77777777" w:rsidR="00AD72A6" w:rsidRDefault="00C269B6">
      <w:pPr>
        <w:numPr>
          <w:ilvl w:val="0"/>
          <w:numId w:val="1"/>
        </w:numPr>
        <w:pBdr>
          <w:top w:val="nil"/>
          <w:left w:val="nil"/>
          <w:bottom w:val="nil"/>
          <w:right w:val="nil"/>
          <w:between w:val="nil"/>
        </w:pBdr>
        <w:ind w:right="18"/>
        <w:jc w:val="both"/>
        <w:rPr>
          <w:b/>
          <w:color w:val="000000"/>
        </w:rPr>
      </w:pPr>
      <w:r>
        <w:rPr>
          <w:color w:val="000000"/>
        </w:rPr>
        <w:t>Chair Corman requested documenting Washington Gas’ participation in board meetings</w:t>
      </w:r>
    </w:p>
    <w:p w14:paraId="7D0DCE0F" w14:textId="1A436354" w:rsidR="00AD72A6" w:rsidRDefault="00C269B6">
      <w:pPr>
        <w:numPr>
          <w:ilvl w:val="0"/>
          <w:numId w:val="1"/>
        </w:numPr>
        <w:pBdr>
          <w:top w:val="nil"/>
          <w:left w:val="nil"/>
          <w:bottom w:val="nil"/>
          <w:right w:val="nil"/>
          <w:between w:val="nil"/>
        </w:pBdr>
        <w:ind w:right="18"/>
        <w:jc w:val="both"/>
        <w:rPr>
          <w:b/>
          <w:color w:val="000000"/>
        </w:rPr>
      </w:pPr>
      <w:r>
        <w:rPr>
          <w:color w:val="000000"/>
        </w:rPr>
        <w:t>Mr. Duer-Balkind moved to approve the January minutes as amended.  Eric Jones seconded the motion.  All were in favor, none opposed.</w:t>
      </w:r>
    </w:p>
    <w:p w14:paraId="43FC902D" w14:textId="54E459D8" w:rsidR="00AD72A6" w:rsidRPr="00B30BDF" w:rsidRDefault="00C269B6" w:rsidP="00B30BDF">
      <w:pPr>
        <w:numPr>
          <w:ilvl w:val="0"/>
          <w:numId w:val="1"/>
        </w:numPr>
        <w:pBdr>
          <w:top w:val="nil"/>
          <w:left w:val="nil"/>
          <w:bottom w:val="nil"/>
          <w:right w:val="nil"/>
          <w:between w:val="nil"/>
        </w:pBdr>
        <w:ind w:right="18"/>
        <w:jc w:val="both"/>
        <w:rPr>
          <w:b/>
          <w:color w:val="000000"/>
        </w:rPr>
      </w:pPr>
      <w:r>
        <w:rPr>
          <w:color w:val="000000"/>
        </w:rPr>
        <w:t>Chair Corman moved to approve December Special Meeting minutes.  Ms. Dodge seconded the motion.  All were in favor, none opposed.</w:t>
      </w:r>
    </w:p>
    <w:p w14:paraId="4B33EB1C" w14:textId="77777777" w:rsidR="00AD72A6" w:rsidRDefault="00AD72A6">
      <w:pPr>
        <w:ind w:right="18"/>
        <w:jc w:val="both"/>
        <w:rPr>
          <w:b/>
        </w:rPr>
      </w:pPr>
    </w:p>
    <w:p w14:paraId="21CF6611" w14:textId="77777777" w:rsidR="00AD72A6" w:rsidRDefault="00C269B6">
      <w:pPr>
        <w:jc w:val="both"/>
        <w:rPr>
          <w:b/>
        </w:rPr>
      </w:pPr>
      <w:r>
        <w:rPr>
          <w:b/>
        </w:rPr>
        <w:t>Overview of DCSEU 5-Year Strategic Plan – Ted Trabue, DCSEU</w:t>
      </w:r>
    </w:p>
    <w:p w14:paraId="2C8B6C4C" w14:textId="76141009" w:rsidR="00AD72A6" w:rsidRDefault="00C269B6">
      <w:pPr>
        <w:numPr>
          <w:ilvl w:val="0"/>
          <w:numId w:val="6"/>
        </w:numPr>
        <w:pBdr>
          <w:top w:val="nil"/>
          <w:left w:val="nil"/>
          <w:bottom w:val="nil"/>
          <w:right w:val="nil"/>
          <w:between w:val="nil"/>
        </w:pBdr>
        <w:jc w:val="both"/>
        <w:rPr>
          <w:b/>
          <w:color w:val="000000"/>
        </w:rPr>
      </w:pPr>
      <w:r>
        <w:rPr>
          <w:color w:val="000000"/>
        </w:rPr>
        <w:t xml:space="preserve">For more detailed information refer to the PowerPoint presentation provided by the DCSEU located on </w:t>
      </w:r>
      <w:r w:rsidR="00B30BDF">
        <w:rPr>
          <w:color w:val="000000"/>
        </w:rPr>
        <w:t xml:space="preserve">SEUAB </w:t>
      </w:r>
      <w:r>
        <w:rPr>
          <w:color w:val="000000"/>
        </w:rPr>
        <w:t>Google Drive</w:t>
      </w:r>
    </w:p>
    <w:p w14:paraId="7BC67C71" w14:textId="77777777" w:rsidR="00AD72A6" w:rsidRDefault="00C269B6">
      <w:pPr>
        <w:numPr>
          <w:ilvl w:val="0"/>
          <w:numId w:val="6"/>
        </w:numPr>
        <w:pBdr>
          <w:top w:val="nil"/>
          <w:left w:val="nil"/>
          <w:bottom w:val="nil"/>
          <w:right w:val="nil"/>
          <w:between w:val="nil"/>
        </w:pBdr>
        <w:jc w:val="both"/>
        <w:rPr>
          <w:b/>
          <w:color w:val="000000"/>
        </w:rPr>
      </w:pPr>
      <w:r>
        <w:rPr>
          <w:color w:val="000000"/>
        </w:rPr>
        <w:t xml:space="preserve">There are 5 cumulative benchmarks for this current contract (2022 - 2026); </w:t>
      </w:r>
    </w:p>
    <w:p w14:paraId="08A0FD48" w14:textId="77777777" w:rsidR="00AD72A6" w:rsidRDefault="00C269B6">
      <w:pPr>
        <w:numPr>
          <w:ilvl w:val="0"/>
          <w:numId w:val="8"/>
        </w:numPr>
        <w:pBdr>
          <w:top w:val="nil"/>
          <w:left w:val="nil"/>
          <w:bottom w:val="nil"/>
          <w:right w:val="nil"/>
          <w:between w:val="nil"/>
        </w:pBdr>
        <w:ind w:left="1170" w:firstLine="630"/>
        <w:jc w:val="both"/>
        <w:rPr>
          <w:b/>
          <w:color w:val="000000"/>
        </w:rPr>
      </w:pPr>
      <w:r>
        <w:rPr>
          <w:color w:val="000000"/>
        </w:rPr>
        <w:t>Energy Savings</w:t>
      </w:r>
    </w:p>
    <w:p w14:paraId="23215AF2" w14:textId="77777777" w:rsidR="00AD72A6" w:rsidRDefault="00C269B6">
      <w:pPr>
        <w:numPr>
          <w:ilvl w:val="0"/>
          <w:numId w:val="8"/>
        </w:numPr>
        <w:pBdr>
          <w:top w:val="nil"/>
          <w:left w:val="nil"/>
          <w:bottom w:val="nil"/>
          <w:right w:val="nil"/>
          <w:between w:val="nil"/>
        </w:pBdr>
        <w:ind w:left="1170" w:firstLine="630"/>
        <w:jc w:val="both"/>
        <w:rPr>
          <w:b/>
          <w:color w:val="000000"/>
        </w:rPr>
      </w:pPr>
      <w:r>
        <w:rPr>
          <w:color w:val="000000"/>
        </w:rPr>
        <w:t>GHG</w:t>
      </w:r>
    </w:p>
    <w:p w14:paraId="51AABAB3" w14:textId="77777777" w:rsidR="00AD72A6" w:rsidRDefault="00C269B6">
      <w:pPr>
        <w:numPr>
          <w:ilvl w:val="0"/>
          <w:numId w:val="8"/>
        </w:numPr>
        <w:pBdr>
          <w:top w:val="nil"/>
          <w:left w:val="nil"/>
          <w:bottom w:val="nil"/>
          <w:right w:val="nil"/>
          <w:between w:val="nil"/>
        </w:pBdr>
        <w:ind w:left="1170" w:firstLine="630"/>
        <w:jc w:val="both"/>
        <w:rPr>
          <w:b/>
          <w:color w:val="000000"/>
        </w:rPr>
      </w:pPr>
      <w:r>
        <w:rPr>
          <w:color w:val="000000"/>
        </w:rPr>
        <w:t>Total Renewable Capacity (kW)</w:t>
      </w:r>
    </w:p>
    <w:p w14:paraId="1DC93521" w14:textId="77777777" w:rsidR="00AD72A6" w:rsidRDefault="00C269B6">
      <w:pPr>
        <w:numPr>
          <w:ilvl w:val="0"/>
          <w:numId w:val="8"/>
        </w:numPr>
        <w:pBdr>
          <w:top w:val="nil"/>
          <w:left w:val="nil"/>
          <w:bottom w:val="nil"/>
          <w:right w:val="nil"/>
          <w:between w:val="nil"/>
        </w:pBdr>
        <w:ind w:left="1170" w:firstLine="630"/>
        <w:jc w:val="both"/>
        <w:rPr>
          <w:b/>
          <w:color w:val="000000"/>
        </w:rPr>
      </w:pPr>
      <w:r>
        <w:rPr>
          <w:color w:val="000000"/>
        </w:rPr>
        <w:t>Deep Energy Retrofits</w:t>
      </w:r>
    </w:p>
    <w:p w14:paraId="4B07ED22" w14:textId="77777777" w:rsidR="00AD72A6" w:rsidRDefault="00C269B6">
      <w:pPr>
        <w:numPr>
          <w:ilvl w:val="0"/>
          <w:numId w:val="8"/>
        </w:numPr>
        <w:pBdr>
          <w:top w:val="nil"/>
          <w:left w:val="nil"/>
          <w:bottom w:val="nil"/>
          <w:right w:val="nil"/>
          <w:between w:val="nil"/>
        </w:pBdr>
        <w:ind w:left="1170" w:firstLine="630"/>
        <w:jc w:val="both"/>
        <w:rPr>
          <w:b/>
          <w:color w:val="000000"/>
        </w:rPr>
      </w:pPr>
      <w:r>
        <w:rPr>
          <w:color w:val="000000"/>
        </w:rPr>
        <w:t>Financial Leveraging</w:t>
      </w:r>
    </w:p>
    <w:p w14:paraId="0A210965" w14:textId="5AB4A450" w:rsidR="00AD72A6" w:rsidRDefault="00C269B6">
      <w:pPr>
        <w:numPr>
          <w:ilvl w:val="0"/>
          <w:numId w:val="6"/>
        </w:numPr>
        <w:pBdr>
          <w:top w:val="nil"/>
          <w:left w:val="nil"/>
          <w:bottom w:val="nil"/>
          <w:right w:val="nil"/>
          <w:between w:val="nil"/>
        </w:pBdr>
        <w:jc w:val="both"/>
        <w:rPr>
          <w:b/>
          <w:color w:val="000000"/>
        </w:rPr>
      </w:pPr>
      <w:r>
        <w:rPr>
          <w:color w:val="000000"/>
        </w:rPr>
        <w:t xml:space="preserve">The Deep Energy Retrofit Benchmark is a stretch </w:t>
      </w:r>
      <w:r w:rsidR="00054E7F">
        <w:rPr>
          <w:color w:val="000000"/>
        </w:rPr>
        <w:t>according to the DCSEU</w:t>
      </w:r>
    </w:p>
    <w:p w14:paraId="30722B94" w14:textId="77777777" w:rsidR="00AD72A6" w:rsidRDefault="00C269B6">
      <w:pPr>
        <w:numPr>
          <w:ilvl w:val="0"/>
          <w:numId w:val="6"/>
        </w:numPr>
        <w:pBdr>
          <w:top w:val="nil"/>
          <w:left w:val="nil"/>
          <w:bottom w:val="nil"/>
          <w:right w:val="nil"/>
          <w:between w:val="nil"/>
        </w:pBdr>
        <w:jc w:val="both"/>
        <w:rPr>
          <w:b/>
          <w:color w:val="000000"/>
        </w:rPr>
      </w:pPr>
      <w:r>
        <w:rPr>
          <w:color w:val="000000"/>
        </w:rPr>
        <w:t>In this contract the financial leveraging benchmarking in only a tracking benchmark it is not a performance benchmark as it was in the previous contract.</w:t>
      </w:r>
    </w:p>
    <w:p w14:paraId="26FE95F9" w14:textId="77777777" w:rsidR="00AD72A6" w:rsidRDefault="00C269B6">
      <w:pPr>
        <w:numPr>
          <w:ilvl w:val="0"/>
          <w:numId w:val="6"/>
        </w:numPr>
        <w:pBdr>
          <w:top w:val="nil"/>
          <w:left w:val="nil"/>
          <w:bottom w:val="nil"/>
          <w:right w:val="nil"/>
          <w:between w:val="nil"/>
        </w:pBdr>
        <w:jc w:val="both"/>
        <w:rPr>
          <w:b/>
          <w:color w:val="000000"/>
        </w:rPr>
      </w:pPr>
      <w:r>
        <w:rPr>
          <w:color w:val="000000"/>
        </w:rPr>
        <w:t>There are 4 annual benchmarks and requirements for the current contract;</w:t>
      </w:r>
    </w:p>
    <w:p w14:paraId="0FCC36B2" w14:textId="77777777" w:rsidR="00AD72A6" w:rsidRDefault="00C269B6">
      <w:pPr>
        <w:numPr>
          <w:ilvl w:val="0"/>
          <w:numId w:val="3"/>
        </w:numPr>
        <w:pBdr>
          <w:top w:val="nil"/>
          <w:left w:val="nil"/>
          <w:bottom w:val="nil"/>
          <w:right w:val="nil"/>
          <w:between w:val="nil"/>
        </w:pBdr>
        <w:ind w:firstLine="1080"/>
        <w:jc w:val="both"/>
        <w:rPr>
          <w:b/>
          <w:color w:val="000000"/>
        </w:rPr>
      </w:pPr>
      <w:r>
        <w:rPr>
          <w:color w:val="000000"/>
        </w:rPr>
        <w:t>Low-Income Spending</w:t>
      </w:r>
    </w:p>
    <w:p w14:paraId="285AF7D9" w14:textId="77777777" w:rsidR="00AD72A6" w:rsidRDefault="00C269B6">
      <w:pPr>
        <w:numPr>
          <w:ilvl w:val="0"/>
          <w:numId w:val="3"/>
        </w:numPr>
        <w:pBdr>
          <w:top w:val="nil"/>
          <w:left w:val="nil"/>
          <w:bottom w:val="nil"/>
          <w:right w:val="nil"/>
          <w:between w:val="nil"/>
        </w:pBdr>
        <w:ind w:firstLine="1080"/>
        <w:jc w:val="both"/>
        <w:rPr>
          <w:b/>
          <w:color w:val="000000"/>
        </w:rPr>
      </w:pPr>
      <w:r>
        <w:rPr>
          <w:color w:val="000000"/>
        </w:rPr>
        <w:t>Low-Income Energy Savings (this is now a tracking only benchmark)</w:t>
      </w:r>
    </w:p>
    <w:p w14:paraId="44E3079D" w14:textId="77777777" w:rsidR="00AD72A6" w:rsidRDefault="00C269B6">
      <w:pPr>
        <w:numPr>
          <w:ilvl w:val="0"/>
          <w:numId w:val="3"/>
        </w:numPr>
        <w:pBdr>
          <w:top w:val="nil"/>
          <w:left w:val="nil"/>
          <w:bottom w:val="nil"/>
          <w:right w:val="nil"/>
          <w:between w:val="nil"/>
        </w:pBdr>
        <w:ind w:firstLine="1080"/>
        <w:jc w:val="both"/>
        <w:rPr>
          <w:b/>
          <w:color w:val="000000"/>
        </w:rPr>
      </w:pPr>
      <w:r>
        <w:rPr>
          <w:color w:val="000000"/>
        </w:rPr>
        <w:t>Green Jobs</w:t>
      </w:r>
    </w:p>
    <w:p w14:paraId="54A7EC53" w14:textId="77777777" w:rsidR="00AD72A6" w:rsidRDefault="00C269B6">
      <w:pPr>
        <w:numPr>
          <w:ilvl w:val="0"/>
          <w:numId w:val="3"/>
        </w:numPr>
        <w:pBdr>
          <w:top w:val="nil"/>
          <w:left w:val="nil"/>
          <w:bottom w:val="nil"/>
          <w:right w:val="nil"/>
          <w:between w:val="nil"/>
        </w:pBdr>
        <w:ind w:firstLine="1080"/>
        <w:jc w:val="both"/>
        <w:rPr>
          <w:b/>
          <w:color w:val="000000"/>
        </w:rPr>
      </w:pPr>
      <w:r>
        <w:rPr>
          <w:color w:val="000000"/>
        </w:rPr>
        <w:t>CBE (Certified Business Enterprise) Spending</w:t>
      </w:r>
    </w:p>
    <w:p w14:paraId="49220145" w14:textId="06847423" w:rsidR="00AD72A6" w:rsidRDefault="00C269B6">
      <w:pPr>
        <w:numPr>
          <w:ilvl w:val="0"/>
          <w:numId w:val="4"/>
        </w:numPr>
        <w:pBdr>
          <w:top w:val="nil"/>
          <w:left w:val="nil"/>
          <w:bottom w:val="nil"/>
          <w:right w:val="nil"/>
          <w:between w:val="nil"/>
        </w:pBdr>
        <w:jc w:val="both"/>
      </w:pPr>
      <w:r>
        <w:rPr>
          <w:color w:val="000000"/>
        </w:rPr>
        <w:t>The changes to the federal funding and policies have had a positive impact on the DCSEU</w:t>
      </w:r>
      <w:r>
        <w:rPr>
          <w:b/>
          <w:color w:val="000000"/>
        </w:rPr>
        <w:t xml:space="preserve"> </w:t>
      </w:r>
      <w:r>
        <w:rPr>
          <w:color w:val="000000"/>
        </w:rPr>
        <w:t>especially in regard</w:t>
      </w:r>
      <w:r w:rsidR="00054E7F">
        <w:rPr>
          <w:color w:val="000000"/>
        </w:rPr>
        <w:t>s</w:t>
      </w:r>
      <w:r>
        <w:rPr>
          <w:color w:val="000000"/>
        </w:rPr>
        <w:t xml:space="preserve"> to the additional </w:t>
      </w:r>
      <w:r w:rsidR="00054E7F">
        <w:rPr>
          <w:color w:val="000000"/>
        </w:rPr>
        <w:t xml:space="preserve">ARPA </w:t>
      </w:r>
      <w:r>
        <w:rPr>
          <w:color w:val="000000"/>
        </w:rPr>
        <w:t>funding that has been added to their current contract</w:t>
      </w:r>
      <w:r w:rsidR="00054E7F">
        <w:rPr>
          <w:color w:val="000000"/>
        </w:rPr>
        <w:t xml:space="preserve"> to run the BEPS Affordable Housing Retrofit Accelerator</w:t>
      </w:r>
    </w:p>
    <w:p w14:paraId="38979B18" w14:textId="77777777" w:rsidR="00AD72A6" w:rsidRDefault="00AD72A6">
      <w:pPr>
        <w:pBdr>
          <w:top w:val="nil"/>
          <w:left w:val="nil"/>
          <w:bottom w:val="nil"/>
          <w:right w:val="nil"/>
          <w:between w:val="nil"/>
        </w:pBdr>
        <w:ind w:left="1800"/>
        <w:jc w:val="both"/>
        <w:rPr>
          <w:b/>
          <w:color w:val="000000"/>
        </w:rPr>
      </w:pPr>
    </w:p>
    <w:p w14:paraId="2B25B831" w14:textId="77777777" w:rsidR="00AD72A6" w:rsidRDefault="00C269B6">
      <w:pPr>
        <w:jc w:val="both"/>
      </w:pPr>
      <w:r>
        <w:t>DCSEU Board comments/questions:</w:t>
      </w:r>
    </w:p>
    <w:p w14:paraId="61180CC9" w14:textId="72C7C6C2" w:rsidR="00AD72A6" w:rsidRDefault="00C269B6">
      <w:pPr>
        <w:numPr>
          <w:ilvl w:val="0"/>
          <w:numId w:val="7"/>
        </w:numPr>
        <w:pBdr>
          <w:top w:val="nil"/>
          <w:left w:val="nil"/>
          <w:bottom w:val="nil"/>
          <w:right w:val="nil"/>
          <w:between w:val="nil"/>
        </w:pBdr>
        <w:jc w:val="both"/>
      </w:pPr>
      <w:r>
        <w:rPr>
          <w:color w:val="000000"/>
        </w:rPr>
        <w:t>Chair Corman recalled that the board was not unanimous on recommending the combination of the kW and energy efficiency upgrade component and suggested that it be closely monitored to determine the feasibility of achieving this benchmark.  Chair Corman also asked what the DCSEU’s confidence level was on achieving the benchmark.  Mr. Trabue suggested to give the DCSEU 3-6 months before they can effectively answer that question.  He however</w:t>
      </w:r>
      <w:r w:rsidR="00EC5CFE">
        <w:rPr>
          <w:color w:val="000000"/>
        </w:rPr>
        <w:t xml:space="preserve"> expressed confidence </w:t>
      </w:r>
      <w:r>
        <w:rPr>
          <w:color w:val="000000"/>
        </w:rPr>
        <w:t xml:space="preserve">that combining the two elements </w:t>
      </w:r>
      <w:r w:rsidR="00EC5CFE">
        <w:rPr>
          <w:color w:val="000000"/>
        </w:rPr>
        <w:t>was</w:t>
      </w:r>
      <w:r>
        <w:rPr>
          <w:color w:val="000000"/>
        </w:rPr>
        <w:t xml:space="preserve"> the right thing to do. </w:t>
      </w:r>
    </w:p>
    <w:p w14:paraId="72AF64D1" w14:textId="5D2C8B80" w:rsidR="00AD72A6" w:rsidRDefault="00C269B6">
      <w:pPr>
        <w:numPr>
          <w:ilvl w:val="0"/>
          <w:numId w:val="7"/>
        </w:numPr>
        <w:pBdr>
          <w:top w:val="nil"/>
          <w:left w:val="nil"/>
          <w:bottom w:val="nil"/>
          <w:right w:val="nil"/>
          <w:between w:val="nil"/>
        </w:pBdr>
        <w:jc w:val="both"/>
      </w:pPr>
      <w:r>
        <w:rPr>
          <w:color w:val="000000"/>
        </w:rPr>
        <w:t>Mr. Duer-Balkin</w:t>
      </w:r>
      <w:r w:rsidR="009F7FCE">
        <w:rPr>
          <w:color w:val="000000"/>
        </w:rPr>
        <w:t>d</w:t>
      </w:r>
      <w:r>
        <w:rPr>
          <w:color w:val="000000"/>
        </w:rPr>
        <w:t xml:space="preserve"> asked, if these buildings were in addition to the retrofit accelerator program or does the retrofit accelerator program funding help achieve the Deep Energy retrofit goals?  Mr. Trabue, responded that the funding </w:t>
      </w:r>
      <w:r w:rsidR="00EC5CFE">
        <w:rPr>
          <w:color w:val="000000"/>
        </w:rPr>
        <w:t>can be counted towards the achievement of the goal</w:t>
      </w:r>
      <w:r>
        <w:rPr>
          <w:color w:val="000000"/>
        </w:rPr>
        <w:t>.</w:t>
      </w:r>
    </w:p>
    <w:p w14:paraId="4DBB920C" w14:textId="21724485" w:rsidR="00AD72A6" w:rsidRDefault="00C269B6">
      <w:pPr>
        <w:numPr>
          <w:ilvl w:val="0"/>
          <w:numId w:val="7"/>
        </w:numPr>
        <w:pBdr>
          <w:top w:val="nil"/>
          <w:left w:val="nil"/>
          <w:bottom w:val="nil"/>
          <w:right w:val="nil"/>
          <w:between w:val="nil"/>
        </w:pBdr>
        <w:jc w:val="both"/>
      </w:pPr>
      <w:r>
        <w:rPr>
          <w:color w:val="000000"/>
        </w:rPr>
        <w:t xml:space="preserve">Mr. Lewis asked for a deeper dive into why the Deep Energy Retrofit Bench is such a stretch.  Is it that funding isn’t there to achieve the goal or is it just harder to achieve that much energy reduction in a </w:t>
      </w:r>
      <w:r w:rsidR="00EC5CFE">
        <w:rPr>
          <w:color w:val="000000"/>
        </w:rPr>
        <w:t>building?</w:t>
      </w:r>
      <w:r>
        <w:rPr>
          <w:color w:val="000000"/>
        </w:rPr>
        <w:t xml:space="preserve">  Mr. Tra</w:t>
      </w:r>
      <w:r w:rsidR="00B30BDF">
        <w:rPr>
          <w:color w:val="000000"/>
        </w:rPr>
        <w:t>b</w:t>
      </w:r>
      <w:r>
        <w:rPr>
          <w:color w:val="000000"/>
        </w:rPr>
        <w:t>ue</w:t>
      </w:r>
      <w:r w:rsidR="00EC5CFE">
        <w:rPr>
          <w:color w:val="000000"/>
        </w:rPr>
        <w:t xml:space="preserve"> stated </w:t>
      </w:r>
      <w:r>
        <w:rPr>
          <w:color w:val="000000"/>
        </w:rPr>
        <w:t xml:space="preserve">that </w:t>
      </w:r>
      <w:r>
        <w:t>achieving</w:t>
      </w:r>
      <w:r>
        <w:rPr>
          <w:color w:val="000000"/>
        </w:rPr>
        <w:t xml:space="preserve"> that much reduction in a building is hard to achieve, however the engineers at the DCSEU are working to determine what is possible.</w:t>
      </w:r>
    </w:p>
    <w:p w14:paraId="2FDEB465" w14:textId="2AB16915" w:rsidR="00AD72A6" w:rsidRDefault="00C269B6">
      <w:pPr>
        <w:numPr>
          <w:ilvl w:val="0"/>
          <w:numId w:val="7"/>
        </w:numPr>
        <w:pBdr>
          <w:top w:val="nil"/>
          <w:left w:val="nil"/>
          <w:bottom w:val="nil"/>
          <w:right w:val="nil"/>
          <w:between w:val="nil"/>
        </w:pBdr>
        <w:jc w:val="both"/>
      </w:pPr>
      <w:r>
        <w:rPr>
          <w:color w:val="000000"/>
        </w:rPr>
        <w:lastRenderedPageBreak/>
        <w:t>Dr. Co</w:t>
      </w:r>
      <w:r w:rsidR="00EC5CFE">
        <w:rPr>
          <w:color w:val="000000"/>
        </w:rPr>
        <w:t>o</w:t>
      </w:r>
      <w:r>
        <w:rPr>
          <w:color w:val="000000"/>
        </w:rPr>
        <w:t>per asked for an analysis subsequent to this meeting of what work would be done in the buildings to achieve the goal.</w:t>
      </w:r>
    </w:p>
    <w:p w14:paraId="0DBB5EF6" w14:textId="255B9459" w:rsidR="00AD72A6" w:rsidRDefault="00C269B6">
      <w:pPr>
        <w:numPr>
          <w:ilvl w:val="0"/>
          <w:numId w:val="7"/>
        </w:numPr>
        <w:pBdr>
          <w:top w:val="nil"/>
          <w:left w:val="nil"/>
          <w:bottom w:val="nil"/>
          <w:right w:val="nil"/>
          <w:between w:val="nil"/>
        </w:pBdr>
        <w:jc w:val="both"/>
      </w:pPr>
      <w:r>
        <w:rPr>
          <w:color w:val="000000"/>
        </w:rPr>
        <w:t xml:space="preserve">Ms. Dodge asked, </w:t>
      </w:r>
      <w:r w:rsidR="00EC5CFE">
        <w:rPr>
          <w:color w:val="000000"/>
        </w:rPr>
        <w:t>“</w:t>
      </w:r>
      <w:r>
        <w:rPr>
          <w:color w:val="000000"/>
        </w:rPr>
        <w:t xml:space="preserve">what </w:t>
      </w:r>
      <w:r w:rsidR="00EC5CFE">
        <w:rPr>
          <w:color w:val="000000"/>
        </w:rPr>
        <w:t xml:space="preserve">is </w:t>
      </w:r>
      <w:r>
        <w:rPr>
          <w:color w:val="000000"/>
        </w:rPr>
        <w:t>the criteria was for the selection of the buildings? How does the accelerator program apply to this benchmark?</w:t>
      </w:r>
      <w:r w:rsidR="00EC5CFE">
        <w:rPr>
          <w:color w:val="000000"/>
        </w:rPr>
        <w:t>”</w:t>
      </w:r>
      <w:r>
        <w:rPr>
          <w:color w:val="000000"/>
        </w:rPr>
        <w:t xml:space="preserve">  Mr. Tra</w:t>
      </w:r>
      <w:r w:rsidR="00B30BDF">
        <w:rPr>
          <w:color w:val="000000"/>
        </w:rPr>
        <w:t>b</w:t>
      </w:r>
      <w:r>
        <w:rPr>
          <w:color w:val="000000"/>
        </w:rPr>
        <w:t>ue</w:t>
      </w:r>
      <w:r w:rsidR="00EC5CFE">
        <w:rPr>
          <w:color w:val="000000"/>
        </w:rPr>
        <w:t xml:space="preserve"> said</w:t>
      </w:r>
      <w:r>
        <w:rPr>
          <w:color w:val="000000"/>
        </w:rPr>
        <w:t xml:space="preserve"> the buildings have to be 50,000 square feet or above</w:t>
      </w:r>
      <w:r w:rsidR="00EC5CFE">
        <w:rPr>
          <w:color w:val="000000"/>
        </w:rPr>
        <w:t>.  Single family house</w:t>
      </w:r>
      <w:r>
        <w:rPr>
          <w:color w:val="000000"/>
        </w:rPr>
        <w:t xml:space="preserve">s </w:t>
      </w:r>
      <w:r w:rsidR="00BF1FDA">
        <w:rPr>
          <w:color w:val="000000"/>
        </w:rPr>
        <w:t>are</w:t>
      </w:r>
      <w:r>
        <w:rPr>
          <w:color w:val="000000"/>
        </w:rPr>
        <w:t xml:space="preserve"> not</w:t>
      </w:r>
      <w:r w:rsidR="00BF1FDA">
        <w:rPr>
          <w:color w:val="000000"/>
        </w:rPr>
        <w:t xml:space="preserve"> </w:t>
      </w:r>
      <w:r>
        <w:rPr>
          <w:color w:val="000000"/>
        </w:rPr>
        <w:t xml:space="preserve">included.  The accelerator work is designed </w:t>
      </w:r>
      <w:r>
        <w:t>to enable low-income</w:t>
      </w:r>
      <w:r>
        <w:rPr>
          <w:color w:val="000000"/>
        </w:rPr>
        <w:t xml:space="preserve"> buildings of 50,000 square feet or </w:t>
      </w:r>
      <w:r>
        <w:t>above to become</w:t>
      </w:r>
      <w:r>
        <w:rPr>
          <w:color w:val="000000"/>
        </w:rPr>
        <w:t xml:space="preserve"> BEPS (Building Energy Performance Standards) compliant.  There are also other low</w:t>
      </w:r>
      <w:r w:rsidR="007D595F">
        <w:rPr>
          <w:color w:val="000000"/>
        </w:rPr>
        <w:t>-</w:t>
      </w:r>
      <w:r>
        <w:rPr>
          <w:color w:val="000000"/>
        </w:rPr>
        <w:t xml:space="preserve">income </w:t>
      </w:r>
      <w:r w:rsidR="00BF1FDA">
        <w:rPr>
          <w:color w:val="000000"/>
        </w:rPr>
        <w:t xml:space="preserve">public housing </w:t>
      </w:r>
      <w:r>
        <w:rPr>
          <w:color w:val="000000"/>
        </w:rPr>
        <w:t xml:space="preserve">buildings </w:t>
      </w:r>
      <w:r w:rsidR="00BF1FDA">
        <w:rPr>
          <w:color w:val="000000"/>
        </w:rPr>
        <w:t xml:space="preserve">less than 50,000 square feet </w:t>
      </w:r>
      <w:r>
        <w:rPr>
          <w:color w:val="000000"/>
        </w:rPr>
        <w:t xml:space="preserve">that have to comply with BEPS that </w:t>
      </w:r>
      <w:r w:rsidR="00BF1FDA">
        <w:rPr>
          <w:color w:val="000000"/>
        </w:rPr>
        <w:t>add to the</w:t>
      </w:r>
      <w:r>
        <w:rPr>
          <w:color w:val="000000"/>
        </w:rPr>
        <w:t xml:space="preserve"> pool of buildings for the Deep Energy Retrofits.  It is also not a requirement that the building</w:t>
      </w:r>
      <w:r w:rsidR="00BF1FDA">
        <w:rPr>
          <w:color w:val="000000"/>
        </w:rPr>
        <w:t>s undertaking a d</w:t>
      </w:r>
      <w:r>
        <w:rPr>
          <w:color w:val="000000"/>
        </w:rPr>
        <w:t xml:space="preserve">eep </w:t>
      </w:r>
      <w:r w:rsidR="00BF1FDA">
        <w:rPr>
          <w:color w:val="000000"/>
        </w:rPr>
        <w:t>e</w:t>
      </w:r>
      <w:r>
        <w:rPr>
          <w:color w:val="000000"/>
        </w:rPr>
        <w:t xml:space="preserve">nergy </w:t>
      </w:r>
      <w:r w:rsidR="00BF1FDA">
        <w:rPr>
          <w:color w:val="000000"/>
        </w:rPr>
        <w:t>r</w:t>
      </w:r>
      <w:r>
        <w:rPr>
          <w:color w:val="000000"/>
        </w:rPr>
        <w:t>etrofits be trying to reach BEPS compliance.</w:t>
      </w:r>
    </w:p>
    <w:p w14:paraId="6836B5CB" w14:textId="7A27C4B1" w:rsidR="00AD72A6" w:rsidRDefault="00C269B6">
      <w:pPr>
        <w:numPr>
          <w:ilvl w:val="0"/>
          <w:numId w:val="7"/>
        </w:numPr>
        <w:pBdr>
          <w:top w:val="nil"/>
          <w:left w:val="nil"/>
          <w:bottom w:val="nil"/>
          <w:right w:val="nil"/>
          <w:between w:val="nil"/>
        </w:pBdr>
        <w:jc w:val="both"/>
      </w:pPr>
      <w:r>
        <w:rPr>
          <w:color w:val="000000"/>
        </w:rPr>
        <w:t xml:space="preserve">Mr. </w:t>
      </w:r>
      <w:r>
        <w:t>Pa</w:t>
      </w:r>
      <w:r w:rsidR="00B30BDF">
        <w:t>ust</w:t>
      </w:r>
      <w:r>
        <w:t>ian asked</w:t>
      </w:r>
      <w:r>
        <w:rPr>
          <w:color w:val="000000"/>
        </w:rPr>
        <w:t xml:space="preserve"> if there is a document available for board </w:t>
      </w:r>
      <w:r>
        <w:t>members</w:t>
      </w:r>
      <w:r>
        <w:rPr>
          <w:color w:val="000000"/>
        </w:rPr>
        <w:t xml:space="preserve"> to read offline that determines the amount of financial contribution the DCSEU makes in projects? Mr. Trabue, it is completely project based and determined by the extensive analysis of the DCSEU engineers and account managers prior to making a financial investment into a project.  Mr. Loncke added that the EMV report would be a great resource for determining the DCSEU project funding analysis.</w:t>
      </w:r>
    </w:p>
    <w:p w14:paraId="15E90FF4" w14:textId="2C06DC2E" w:rsidR="00AD72A6" w:rsidRDefault="00C269B6">
      <w:pPr>
        <w:numPr>
          <w:ilvl w:val="0"/>
          <w:numId w:val="7"/>
        </w:numPr>
        <w:pBdr>
          <w:top w:val="nil"/>
          <w:left w:val="nil"/>
          <w:bottom w:val="nil"/>
          <w:right w:val="nil"/>
          <w:between w:val="nil"/>
        </w:pBdr>
        <w:jc w:val="both"/>
      </w:pPr>
      <w:r>
        <w:rPr>
          <w:color w:val="000000"/>
        </w:rPr>
        <w:t xml:space="preserve">Mr. Lewis asked, is there a reason why the low-income savings benchmark is now only a tracking benchmark? Mr. Trabue, gives the DCSEU more flexibility with the projects chosen since they are not locked into achieving a specific amount of savings to be in compliance with the contract.  Chair Corman commented there will be savings achieved through other mechanisms that aren’t a direct result of there being more savings.  Additionally with Pepco and Washington </w:t>
      </w:r>
      <w:r w:rsidR="00BF1FDA">
        <w:rPr>
          <w:color w:val="000000"/>
        </w:rPr>
        <w:t>G</w:t>
      </w:r>
      <w:r>
        <w:rPr>
          <w:color w:val="000000"/>
        </w:rPr>
        <w:t xml:space="preserve">as </w:t>
      </w:r>
      <w:proofErr w:type="gramStart"/>
      <w:r>
        <w:rPr>
          <w:color w:val="000000"/>
        </w:rPr>
        <w:t>entering into</w:t>
      </w:r>
      <w:proofErr w:type="gramEnd"/>
      <w:r>
        <w:rPr>
          <w:color w:val="000000"/>
        </w:rPr>
        <w:t xml:space="preserve"> the same space as the DCSEU</w:t>
      </w:r>
      <w:r w:rsidR="003261DD">
        <w:rPr>
          <w:color w:val="000000"/>
        </w:rPr>
        <w:t>,</w:t>
      </w:r>
      <w:r>
        <w:rPr>
          <w:color w:val="000000"/>
        </w:rPr>
        <w:t xml:space="preserve"> removing the requirement </w:t>
      </w:r>
      <w:r>
        <w:t>lessened</w:t>
      </w:r>
      <w:r>
        <w:rPr>
          <w:color w:val="000000"/>
        </w:rPr>
        <w:t xml:space="preserve"> the effect of the market competition on the DCSEU’s ability to achieve savings.</w:t>
      </w:r>
    </w:p>
    <w:p w14:paraId="2915CA00" w14:textId="0C81DD7B" w:rsidR="00AD72A6" w:rsidRDefault="00C269B6">
      <w:pPr>
        <w:numPr>
          <w:ilvl w:val="0"/>
          <w:numId w:val="7"/>
        </w:numPr>
        <w:pBdr>
          <w:top w:val="nil"/>
          <w:left w:val="nil"/>
          <w:bottom w:val="nil"/>
          <w:right w:val="nil"/>
          <w:between w:val="nil"/>
        </w:pBdr>
        <w:jc w:val="both"/>
      </w:pPr>
      <w:r>
        <w:rPr>
          <w:color w:val="000000"/>
        </w:rPr>
        <w:t xml:space="preserve">Chair Corman, </w:t>
      </w:r>
      <w:r w:rsidR="003261DD">
        <w:rPr>
          <w:color w:val="000000"/>
        </w:rPr>
        <w:t xml:space="preserve">requested that the Board </w:t>
      </w:r>
      <w:r>
        <w:rPr>
          <w:color w:val="000000"/>
        </w:rPr>
        <w:t>please come to the next meeting having reviewed and commented on the DCSE Strategic plan.</w:t>
      </w:r>
    </w:p>
    <w:p w14:paraId="43F32AFB" w14:textId="27EBDB74" w:rsidR="00AD72A6" w:rsidRPr="009854A3" w:rsidRDefault="00C269B6">
      <w:pPr>
        <w:numPr>
          <w:ilvl w:val="0"/>
          <w:numId w:val="7"/>
        </w:numPr>
        <w:pBdr>
          <w:top w:val="nil"/>
          <w:left w:val="nil"/>
          <w:bottom w:val="nil"/>
          <w:right w:val="nil"/>
          <w:between w:val="nil"/>
        </w:pBdr>
        <w:jc w:val="both"/>
      </w:pPr>
      <w:r>
        <w:rPr>
          <w:color w:val="000000"/>
        </w:rPr>
        <w:t>Mr. Duer-Balkind asked where the</w:t>
      </w:r>
      <w:r w:rsidR="003261DD">
        <w:rPr>
          <w:color w:val="000000"/>
        </w:rPr>
        <w:t>re</w:t>
      </w:r>
      <w:r>
        <w:rPr>
          <w:color w:val="000000"/>
        </w:rPr>
        <w:t xml:space="preserve"> are</w:t>
      </w:r>
      <w:r w:rsidR="003261DD">
        <w:rPr>
          <w:color w:val="000000"/>
        </w:rPr>
        <w:t xml:space="preserve"> areas</w:t>
      </w:r>
      <w:r>
        <w:rPr>
          <w:color w:val="000000"/>
        </w:rPr>
        <w:t xml:space="preserve"> of uncertainty or concern </w:t>
      </w:r>
      <w:r w:rsidR="003261DD">
        <w:rPr>
          <w:color w:val="000000"/>
        </w:rPr>
        <w:t>that the</w:t>
      </w:r>
      <w:r>
        <w:rPr>
          <w:color w:val="000000"/>
        </w:rPr>
        <w:t xml:space="preserve"> Board could provide assistance to the DCSEU? Ms. Boyd </w:t>
      </w:r>
      <w:r w:rsidR="003261DD">
        <w:rPr>
          <w:color w:val="000000"/>
        </w:rPr>
        <w:t>stated that th</w:t>
      </w:r>
      <w:r>
        <w:rPr>
          <w:color w:val="000000"/>
        </w:rPr>
        <w:t xml:space="preserve">e DCSEU will get back to the </w:t>
      </w:r>
      <w:r w:rsidR="003261DD">
        <w:rPr>
          <w:color w:val="000000"/>
        </w:rPr>
        <w:t>B</w:t>
      </w:r>
      <w:r>
        <w:rPr>
          <w:color w:val="000000"/>
        </w:rPr>
        <w:t>oard and appreciate</w:t>
      </w:r>
      <w:r w:rsidR="003261DD">
        <w:rPr>
          <w:color w:val="000000"/>
        </w:rPr>
        <w:t>s</w:t>
      </w:r>
      <w:r>
        <w:rPr>
          <w:color w:val="000000"/>
        </w:rPr>
        <w:t xml:space="preserve"> the offer.</w:t>
      </w:r>
    </w:p>
    <w:p w14:paraId="1E4EC7AF" w14:textId="2303A08B" w:rsidR="00924926" w:rsidRDefault="00924926" w:rsidP="009854A3">
      <w:pPr>
        <w:numPr>
          <w:ilvl w:val="1"/>
          <w:numId w:val="7"/>
        </w:numPr>
        <w:pBdr>
          <w:top w:val="nil"/>
          <w:left w:val="nil"/>
          <w:bottom w:val="nil"/>
          <w:right w:val="nil"/>
          <w:between w:val="nil"/>
        </w:pBdr>
        <w:jc w:val="both"/>
      </w:pPr>
      <w:r>
        <w:t xml:space="preserve">A question was asked about the status of the SEU’s Strategic Plan and whether any action as needed on it from the Board.  Mr. Loncke responded that </w:t>
      </w:r>
      <w:r>
        <w:t>the Board input into the Strategic Plan is strongly preferred but not required</w:t>
      </w:r>
      <w:r>
        <w:t>.  It was agreed that the Board would discuss the full Plan in more detail once members had read it.</w:t>
      </w:r>
    </w:p>
    <w:p w14:paraId="30CFE12E" w14:textId="73933EE5" w:rsidR="00AD72A6" w:rsidRDefault="00AD72A6">
      <w:pPr>
        <w:jc w:val="both"/>
      </w:pPr>
    </w:p>
    <w:p w14:paraId="72E0CA81" w14:textId="77777777" w:rsidR="00BF753F" w:rsidRDefault="00BF753F">
      <w:pPr>
        <w:jc w:val="both"/>
      </w:pPr>
    </w:p>
    <w:p w14:paraId="31FE6034" w14:textId="77777777" w:rsidR="00AD72A6" w:rsidRDefault="00C269B6">
      <w:pPr>
        <w:jc w:val="both"/>
        <w:rPr>
          <w:b/>
        </w:rPr>
      </w:pPr>
      <w:bookmarkStart w:id="2" w:name="_Hlk97119483"/>
      <w:r>
        <w:rPr>
          <w:b/>
        </w:rPr>
        <w:t>Next Agenda</w:t>
      </w:r>
    </w:p>
    <w:p w14:paraId="06BD711A" w14:textId="71DAE82C" w:rsidR="00AD72A6" w:rsidRDefault="00054E7F">
      <w:pPr>
        <w:numPr>
          <w:ilvl w:val="0"/>
          <w:numId w:val="5"/>
        </w:numPr>
        <w:pBdr>
          <w:top w:val="nil"/>
          <w:left w:val="nil"/>
          <w:bottom w:val="nil"/>
          <w:right w:val="nil"/>
          <w:between w:val="nil"/>
        </w:pBdr>
        <w:jc w:val="both"/>
      </w:pPr>
      <w:r>
        <w:rPr>
          <w:color w:val="000000"/>
        </w:rPr>
        <w:t>Recommendations</w:t>
      </w:r>
      <w:r w:rsidR="00C269B6">
        <w:rPr>
          <w:color w:val="000000"/>
        </w:rPr>
        <w:t xml:space="preserve"> for prioritizing the DCSEU Strategic objectives.</w:t>
      </w:r>
    </w:p>
    <w:p w14:paraId="2CA8AD7E" w14:textId="77777777" w:rsidR="00AD72A6" w:rsidRDefault="00C269B6">
      <w:pPr>
        <w:numPr>
          <w:ilvl w:val="0"/>
          <w:numId w:val="5"/>
        </w:numPr>
        <w:pBdr>
          <w:top w:val="nil"/>
          <w:left w:val="nil"/>
          <w:bottom w:val="nil"/>
          <w:right w:val="nil"/>
          <w:between w:val="nil"/>
        </w:pBdr>
        <w:jc w:val="both"/>
      </w:pPr>
      <w:r>
        <w:rPr>
          <w:color w:val="000000"/>
        </w:rPr>
        <w:t>DCSEU areas of uncertainty and concern</w:t>
      </w:r>
    </w:p>
    <w:p w14:paraId="5E147358" w14:textId="77777777" w:rsidR="00AD72A6" w:rsidRDefault="00C269B6">
      <w:pPr>
        <w:numPr>
          <w:ilvl w:val="0"/>
          <w:numId w:val="5"/>
        </w:numPr>
        <w:pBdr>
          <w:top w:val="nil"/>
          <w:left w:val="nil"/>
          <w:bottom w:val="nil"/>
          <w:right w:val="nil"/>
          <w:between w:val="nil"/>
        </w:pBdr>
        <w:jc w:val="both"/>
      </w:pPr>
      <w:r>
        <w:rPr>
          <w:color w:val="000000"/>
        </w:rPr>
        <w:t>Continue discussion on whether or not changes need to be made legislatively in regard to the Advisory Board Report</w:t>
      </w:r>
    </w:p>
    <w:p w14:paraId="5199D620" w14:textId="58A22AD3" w:rsidR="00AD72A6" w:rsidRPr="009854A3" w:rsidRDefault="00C269B6">
      <w:pPr>
        <w:numPr>
          <w:ilvl w:val="0"/>
          <w:numId w:val="5"/>
        </w:numPr>
        <w:pBdr>
          <w:top w:val="nil"/>
          <w:left w:val="nil"/>
          <w:bottom w:val="nil"/>
          <w:right w:val="nil"/>
          <w:between w:val="nil"/>
        </w:pBdr>
        <w:jc w:val="both"/>
      </w:pPr>
      <w:r>
        <w:rPr>
          <w:color w:val="000000"/>
        </w:rPr>
        <w:t>Discussion of the fuel switching tracking requirement and pilot lessons learned</w:t>
      </w:r>
      <w:bookmarkEnd w:id="2"/>
    </w:p>
    <w:p w14:paraId="6051D683" w14:textId="3E9F5514" w:rsidR="0030106D" w:rsidRDefault="0030106D" w:rsidP="0030106D">
      <w:pPr>
        <w:pBdr>
          <w:top w:val="nil"/>
          <w:left w:val="nil"/>
          <w:bottom w:val="nil"/>
          <w:right w:val="nil"/>
          <w:between w:val="nil"/>
        </w:pBdr>
        <w:jc w:val="both"/>
      </w:pPr>
    </w:p>
    <w:p w14:paraId="018FB2EA" w14:textId="2BA352C4" w:rsidR="0030106D" w:rsidRDefault="0030106D" w:rsidP="0030106D">
      <w:pPr>
        <w:pBdr>
          <w:top w:val="nil"/>
          <w:left w:val="nil"/>
          <w:bottom w:val="nil"/>
          <w:right w:val="nil"/>
          <w:between w:val="nil"/>
        </w:pBdr>
        <w:jc w:val="both"/>
      </w:pPr>
      <w:r>
        <w:t>Future Agenda Items</w:t>
      </w:r>
    </w:p>
    <w:p w14:paraId="33AAF0E9" w14:textId="1B703DD5" w:rsidR="0030106D" w:rsidRDefault="0030106D" w:rsidP="00096411">
      <w:pPr>
        <w:pStyle w:val="ListParagraph"/>
        <w:numPr>
          <w:ilvl w:val="0"/>
          <w:numId w:val="11"/>
        </w:numPr>
        <w:pBdr>
          <w:top w:val="nil"/>
          <w:left w:val="nil"/>
          <w:bottom w:val="nil"/>
          <w:right w:val="nil"/>
          <w:between w:val="nil"/>
        </w:pBdr>
        <w:jc w:val="both"/>
      </w:pPr>
      <w:r>
        <w:t>DCSEU Societal Cost Test</w:t>
      </w:r>
    </w:p>
    <w:p w14:paraId="15B87DB1" w14:textId="77777777" w:rsidR="00AD72A6" w:rsidRDefault="00AD72A6">
      <w:pPr>
        <w:jc w:val="both"/>
      </w:pPr>
    </w:p>
    <w:p w14:paraId="61BAB0A3" w14:textId="77777777" w:rsidR="00AD72A6" w:rsidRDefault="00C269B6">
      <w:pPr>
        <w:rPr>
          <w:b/>
        </w:rPr>
      </w:pPr>
      <w:bookmarkStart w:id="3" w:name="_heading=h.1fob9te" w:colFirst="0" w:colLast="0"/>
      <w:bookmarkEnd w:id="3"/>
      <w:r>
        <w:rPr>
          <w:b/>
        </w:rPr>
        <w:t>Actions taken by the Board</w:t>
      </w:r>
    </w:p>
    <w:p w14:paraId="5217460A" w14:textId="77777777" w:rsidR="00AD72A6" w:rsidRDefault="00C269B6">
      <w:pPr>
        <w:numPr>
          <w:ilvl w:val="0"/>
          <w:numId w:val="9"/>
        </w:numPr>
        <w:pBdr>
          <w:top w:val="nil"/>
          <w:left w:val="nil"/>
          <w:bottom w:val="nil"/>
          <w:right w:val="nil"/>
          <w:between w:val="nil"/>
        </w:pBdr>
      </w:pPr>
      <w:r>
        <w:rPr>
          <w:color w:val="000000"/>
        </w:rPr>
        <w:t>Approval of agenda</w:t>
      </w:r>
    </w:p>
    <w:p w14:paraId="61E6CBE4" w14:textId="77777777" w:rsidR="00AD72A6" w:rsidRDefault="00C269B6">
      <w:pPr>
        <w:numPr>
          <w:ilvl w:val="0"/>
          <w:numId w:val="9"/>
        </w:numPr>
        <w:pBdr>
          <w:top w:val="nil"/>
          <w:left w:val="nil"/>
          <w:bottom w:val="nil"/>
          <w:right w:val="nil"/>
          <w:between w:val="nil"/>
        </w:pBdr>
      </w:pPr>
      <w:r>
        <w:rPr>
          <w:color w:val="000000"/>
        </w:rPr>
        <w:t>Approval of December and January meeting minutes</w:t>
      </w:r>
    </w:p>
    <w:p w14:paraId="6E28D6FF" w14:textId="77777777" w:rsidR="00AD72A6" w:rsidRDefault="00C269B6">
      <w:pPr>
        <w:numPr>
          <w:ilvl w:val="0"/>
          <w:numId w:val="9"/>
        </w:numPr>
        <w:pBdr>
          <w:top w:val="nil"/>
          <w:left w:val="nil"/>
          <w:bottom w:val="nil"/>
          <w:right w:val="nil"/>
          <w:between w:val="nil"/>
        </w:pBdr>
      </w:pPr>
      <w:r>
        <w:rPr>
          <w:color w:val="000000"/>
        </w:rPr>
        <w:lastRenderedPageBreak/>
        <w:t xml:space="preserve">Review and scheduling of discussions for future meetings </w:t>
      </w:r>
    </w:p>
    <w:p w14:paraId="2FCCE76E" w14:textId="77777777" w:rsidR="00AD72A6" w:rsidRDefault="00AD72A6">
      <w:pPr>
        <w:pBdr>
          <w:top w:val="nil"/>
          <w:left w:val="nil"/>
          <w:bottom w:val="nil"/>
          <w:right w:val="nil"/>
          <w:between w:val="nil"/>
        </w:pBdr>
        <w:ind w:left="720"/>
        <w:rPr>
          <w:b/>
          <w:color w:val="000000"/>
        </w:rPr>
      </w:pPr>
    </w:p>
    <w:p w14:paraId="62D724ED" w14:textId="77777777" w:rsidR="00AD72A6" w:rsidRDefault="00C269B6">
      <w:pPr>
        <w:rPr>
          <w:b/>
        </w:rPr>
      </w:pPr>
      <w:r>
        <w:rPr>
          <w:b/>
        </w:rPr>
        <w:t>Adjournment</w:t>
      </w:r>
    </w:p>
    <w:p w14:paraId="72B07A40" w14:textId="77777777" w:rsidR="00AD72A6" w:rsidRDefault="00C269B6">
      <w:pPr>
        <w:numPr>
          <w:ilvl w:val="0"/>
          <w:numId w:val="10"/>
        </w:numPr>
        <w:pBdr>
          <w:top w:val="nil"/>
          <w:left w:val="nil"/>
          <w:bottom w:val="nil"/>
          <w:right w:val="nil"/>
          <w:between w:val="nil"/>
        </w:pBdr>
      </w:pPr>
      <w:r>
        <w:rPr>
          <w:color w:val="000000"/>
        </w:rPr>
        <w:t>Chair Corman adjourned the meeting at 12:02 PM.</w:t>
      </w:r>
    </w:p>
    <w:p w14:paraId="774EE780" w14:textId="77777777" w:rsidR="00AD72A6" w:rsidRDefault="00AD72A6">
      <w:pPr>
        <w:rPr>
          <w:i/>
        </w:rPr>
      </w:pPr>
    </w:p>
    <w:p w14:paraId="29141C40" w14:textId="77777777" w:rsidR="00AD72A6" w:rsidRDefault="00C269B6">
      <w:pPr>
        <w:rPr>
          <w:i/>
        </w:rPr>
      </w:pPr>
      <w:r>
        <w:rPr>
          <w:i/>
        </w:rPr>
        <w:t>Minutes prepared by LaKeisha Lockwood, DOEE</w:t>
      </w:r>
    </w:p>
    <w:p w14:paraId="038C9BBF" w14:textId="77777777" w:rsidR="00AD72A6" w:rsidRDefault="00AD72A6"/>
    <w:p w14:paraId="443F8F5B" w14:textId="77777777" w:rsidR="00AD72A6" w:rsidRDefault="00AD72A6"/>
    <w:sectPr w:rsidR="00AD72A6">
      <w:headerReference w:type="default" r:id="rId8"/>
      <w:footerReference w:type="default" r:id="rId9"/>
      <w:headerReference w:type="first" r:id="rId10"/>
      <w:footerReference w:type="first" r:id="rId11"/>
      <w:pgSz w:w="12240" w:h="15840"/>
      <w:pgMar w:top="1440" w:right="810" w:bottom="1440" w:left="1152" w:header="720" w:footer="28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BBE47" w14:textId="77777777" w:rsidR="00C8295A" w:rsidRDefault="00C8295A">
      <w:r>
        <w:separator/>
      </w:r>
    </w:p>
  </w:endnote>
  <w:endnote w:type="continuationSeparator" w:id="0">
    <w:p w14:paraId="532532D7" w14:textId="77777777" w:rsidR="00C8295A" w:rsidRDefault="00C82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F584" w14:textId="77777777" w:rsidR="00AD72A6" w:rsidRDefault="00C269B6">
    <w:pPr>
      <w:pBdr>
        <w:top w:val="nil"/>
        <w:left w:val="nil"/>
        <w:bottom w:val="nil"/>
        <w:right w:val="nil"/>
        <w:between w:val="nil"/>
      </w:pBdr>
      <w:tabs>
        <w:tab w:val="center" w:pos="4320"/>
        <w:tab w:val="right" w:pos="8640"/>
      </w:tabs>
      <w:jc w:val="center"/>
      <w:rPr>
        <w:color w:val="000000"/>
      </w:rPr>
    </w:pPr>
    <w:r>
      <w:rPr>
        <w:rFonts w:ascii="Century Gothic" w:eastAsia="Century Gothic" w:hAnsi="Century Gothic" w:cs="Century Gothic"/>
        <w:color w:val="000000"/>
        <w:sz w:val="22"/>
        <w:szCs w:val="22"/>
      </w:rPr>
      <w:t xml:space="preserve">Page </w:t>
    </w:r>
    <w:r>
      <w:rPr>
        <w:rFonts w:ascii="Century Gothic" w:eastAsia="Century Gothic" w:hAnsi="Century Gothic" w:cs="Century Gothic"/>
        <w:b/>
        <w:color w:val="000000"/>
        <w:sz w:val="22"/>
        <w:szCs w:val="22"/>
      </w:rPr>
      <w:fldChar w:fldCharType="begin"/>
    </w:r>
    <w:r>
      <w:rPr>
        <w:rFonts w:ascii="Century Gothic" w:eastAsia="Century Gothic" w:hAnsi="Century Gothic" w:cs="Century Gothic"/>
        <w:b/>
        <w:color w:val="000000"/>
        <w:sz w:val="22"/>
        <w:szCs w:val="22"/>
      </w:rPr>
      <w:instrText>PAGE</w:instrText>
    </w:r>
    <w:r>
      <w:rPr>
        <w:rFonts w:ascii="Century Gothic" w:eastAsia="Century Gothic" w:hAnsi="Century Gothic" w:cs="Century Gothic"/>
        <w:b/>
        <w:color w:val="000000"/>
        <w:sz w:val="22"/>
        <w:szCs w:val="22"/>
      </w:rPr>
      <w:fldChar w:fldCharType="separate"/>
    </w:r>
    <w:r w:rsidR="00E9581F">
      <w:rPr>
        <w:rFonts w:ascii="Century Gothic" w:eastAsia="Century Gothic" w:hAnsi="Century Gothic" w:cs="Century Gothic"/>
        <w:b/>
        <w:noProof/>
        <w:color w:val="000000"/>
        <w:sz w:val="22"/>
        <w:szCs w:val="22"/>
      </w:rPr>
      <w:t>2</w:t>
    </w:r>
    <w:r>
      <w:rPr>
        <w:rFonts w:ascii="Century Gothic" w:eastAsia="Century Gothic" w:hAnsi="Century Gothic" w:cs="Century Gothic"/>
        <w:b/>
        <w:color w:val="000000"/>
        <w:sz w:val="22"/>
        <w:szCs w:val="22"/>
      </w:rPr>
      <w:fldChar w:fldCharType="end"/>
    </w:r>
    <w:r>
      <w:rPr>
        <w:rFonts w:ascii="Century Gothic" w:eastAsia="Century Gothic" w:hAnsi="Century Gothic" w:cs="Century Gothic"/>
        <w:color w:val="000000"/>
        <w:sz w:val="22"/>
        <w:szCs w:val="22"/>
      </w:rPr>
      <w:t xml:space="preserve"> of </w:t>
    </w:r>
    <w:r>
      <w:rPr>
        <w:rFonts w:ascii="Century Gothic" w:eastAsia="Century Gothic" w:hAnsi="Century Gothic" w:cs="Century Gothic"/>
        <w:b/>
        <w:color w:val="000000"/>
        <w:sz w:val="22"/>
        <w:szCs w:val="22"/>
      </w:rPr>
      <w:fldChar w:fldCharType="begin"/>
    </w:r>
    <w:r>
      <w:rPr>
        <w:rFonts w:ascii="Century Gothic" w:eastAsia="Century Gothic" w:hAnsi="Century Gothic" w:cs="Century Gothic"/>
        <w:b/>
        <w:color w:val="000000"/>
        <w:sz w:val="22"/>
        <w:szCs w:val="22"/>
      </w:rPr>
      <w:instrText>NUMPAGES</w:instrText>
    </w:r>
    <w:r>
      <w:rPr>
        <w:rFonts w:ascii="Century Gothic" w:eastAsia="Century Gothic" w:hAnsi="Century Gothic" w:cs="Century Gothic"/>
        <w:b/>
        <w:color w:val="000000"/>
        <w:sz w:val="22"/>
        <w:szCs w:val="22"/>
      </w:rPr>
      <w:fldChar w:fldCharType="separate"/>
    </w:r>
    <w:r w:rsidR="00E9581F">
      <w:rPr>
        <w:rFonts w:ascii="Century Gothic" w:eastAsia="Century Gothic" w:hAnsi="Century Gothic" w:cs="Century Gothic"/>
        <w:b/>
        <w:noProof/>
        <w:color w:val="000000"/>
        <w:sz w:val="22"/>
        <w:szCs w:val="22"/>
      </w:rPr>
      <w:t>3</w:t>
    </w:r>
    <w:r>
      <w:rPr>
        <w:rFonts w:ascii="Century Gothic" w:eastAsia="Century Gothic" w:hAnsi="Century Gothic" w:cs="Century Gothic"/>
        <w:b/>
        <w:color w:val="000000"/>
        <w:sz w:val="22"/>
        <w:szCs w:val="22"/>
      </w:rPr>
      <w:fldChar w:fldCharType="end"/>
    </w:r>
  </w:p>
  <w:p w14:paraId="1769A32B" w14:textId="77777777" w:rsidR="00AD72A6" w:rsidRDefault="00AD72A6">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E0D79" w14:textId="77777777" w:rsidR="00AD72A6" w:rsidRDefault="00C269B6">
    <w:pPr>
      <w:pBdr>
        <w:top w:val="nil"/>
        <w:left w:val="nil"/>
        <w:bottom w:val="nil"/>
        <w:right w:val="nil"/>
        <w:between w:val="nil"/>
      </w:pBdr>
      <w:tabs>
        <w:tab w:val="center" w:pos="4320"/>
        <w:tab w:val="right" w:pos="8640"/>
        <w:tab w:val="right" w:pos="-4680"/>
      </w:tabs>
      <w:jc w:val="center"/>
      <w:rPr>
        <w:rFonts w:ascii="Century Gothic" w:eastAsia="Century Gothic" w:hAnsi="Century Gothic" w:cs="Century Gothic"/>
        <w:color w:val="000000"/>
        <w:sz w:val="19"/>
        <w:szCs w:val="19"/>
      </w:rPr>
    </w:pPr>
    <w:r>
      <w:rPr>
        <w:rFonts w:ascii="Century Gothic" w:eastAsia="Century Gothic" w:hAnsi="Century Gothic" w:cs="Century Gothic"/>
        <w:color w:val="000000"/>
        <w:sz w:val="20"/>
        <w:szCs w:val="20"/>
      </w:rPr>
      <w:t xml:space="preserve">                             </w:t>
    </w:r>
    <w:r>
      <w:rPr>
        <w:rFonts w:ascii="Century Gothic" w:eastAsia="Century Gothic" w:hAnsi="Century Gothic" w:cs="Century Gothic"/>
        <w:color w:val="000000"/>
        <w:sz w:val="19"/>
        <w:szCs w:val="19"/>
      </w:rPr>
      <w:t xml:space="preserve">1200 First Street NE, 5th Floor, Washington, DC 20002 | (202) 535-2600 | doee.dc.gov </w:t>
    </w:r>
    <w:r>
      <w:rPr>
        <w:noProof/>
      </w:rPr>
      <mc:AlternateContent>
        <mc:Choice Requires="wpg">
          <w:drawing>
            <wp:anchor distT="0" distB="0" distL="114300" distR="114300" simplePos="0" relativeHeight="251658240" behindDoc="0" locked="0" layoutInCell="1" hidden="0" allowOverlap="1" wp14:anchorId="529F582C" wp14:editId="46067E34">
              <wp:simplePos x="0" y="0"/>
              <wp:positionH relativeFrom="column">
                <wp:posOffset>1</wp:posOffset>
              </wp:positionH>
              <wp:positionV relativeFrom="paragraph">
                <wp:posOffset>-457199</wp:posOffset>
              </wp:positionV>
              <wp:extent cx="6803517" cy="338709"/>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1949004" y="3615408"/>
                        <a:ext cx="6793992" cy="329184"/>
                      </a:xfrm>
                      <a:prstGeom prst="rect">
                        <a:avLst/>
                      </a:prstGeom>
                      <a:solidFill>
                        <a:srgbClr val="FFFFFF"/>
                      </a:solidFill>
                      <a:ln>
                        <a:noFill/>
                      </a:ln>
                    </wps:spPr>
                    <wps:txbx>
                      <w:txbxContent>
                        <w:p w14:paraId="7CCAE20B" w14:textId="77777777" w:rsidR="00AD72A6" w:rsidRDefault="00AD72A6">
                          <w:pPr>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-457199</wp:posOffset>
              </wp:positionV>
              <wp:extent cx="6803517" cy="338709"/>
              <wp:effectExtent b="0" l="0" r="0" t="0"/>
              <wp:wrapSquare wrapText="bothSides" distB="0" distT="0" distL="114300" distR="114300"/>
              <wp:docPr id="15"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803517" cy="338709"/>
                      </a:xfrm>
                      <a:prstGeom prst="rect"/>
                      <a:ln/>
                    </pic:spPr>
                  </pic:pic>
                </a:graphicData>
              </a:graphic>
            </wp:anchor>
          </w:drawing>
        </mc:Fallback>
      </mc:AlternateContent>
    </w:r>
    <w:r>
      <w:rPr>
        <w:noProof/>
      </w:rPr>
      <mc:AlternateContent>
        <mc:Choice Requires="wpg">
          <w:drawing>
            <wp:anchor distT="0" distB="0" distL="114300" distR="114300" simplePos="0" relativeHeight="251659264" behindDoc="0" locked="0" layoutInCell="1" hidden="0" allowOverlap="1" wp14:anchorId="02247227" wp14:editId="4B3BECCD">
              <wp:simplePos x="0" y="0"/>
              <wp:positionH relativeFrom="column">
                <wp:posOffset>1206500</wp:posOffset>
              </wp:positionH>
              <wp:positionV relativeFrom="paragraph">
                <wp:posOffset>-139699</wp:posOffset>
              </wp:positionV>
              <wp:extent cx="4928870" cy="19050"/>
              <wp:effectExtent l="0" t="0" r="0" b="0"/>
              <wp:wrapTopAndBottom distT="0" distB="0"/>
              <wp:docPr id="16" name="Straight Arrow Connector 16"/>
              <wp:cNvGraphicFramePr/>
              <a:graphic xmlns:a="http://schemas.openxmlformats.org/drawingml/2006/main">
                <a:graphicData uri="http://schemas.microsoft.com/office/word/2010/wordprocessingShape">
                  <wps:wsp>
                    <wps:cNvCnPr/>
                    <wps:spPr>
                      <a:xfrm>
                        <a:off x="2881565" y="3780000"/>
                        <a:ext cx="4928870" cy="0"/>
                      </a:xfrm>
                      <a:prstGeom prst="straightConnector1">
                        <a:avLst/>
                      </a:prstGeom>
                      <a:noFill/>
                      <a:ln w="19050" cap="flat" cmpd="sng">
                        <a:solidFill>
                          <a:srgbClr val="000000"/>
                        </a:solidFill>
                        <a:prstDash val="solid"/>
                        <a:round/>
                        <a:headEnd type="none" w="med" len="med"/>
                        <a:tailEnd type="none" w="med" len="med"/>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1206500</wp:posOffset>
              </wp:positionH>
              <wp:positionV relativeFrom="paragraph">
                <wp:posOffset>-139699</wp:posOffset>
              </wp:positionV>
              <wp:extent cx="4928870" cy="19050"/>
              <wp:effectExtent b="0" l="0" r="0" t="0"/>
              <wp:wrapTopAndBottom distB="0" distT="0"/>
              <wp:docPr id="16"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928870" cy="19050"/>
                      </a:xfrm>
                      <a:prstGeom prst="rect"/>
                      <a:ln/>
                    </pic:spPr>
                  </pic:pic>
                </a:graphicData>
              </a:graphic>
            </wp:anchor>
          </w:drawing>
        </mc:Fallback>
      </mc:AlternateContent>
    </w:r>
    <w:r>
      <w:rPr>
        <w:noProof/>
      </w:rPr>
      <w:drawing>
        <wp:anchor distT="0" distB="0" distL="114300" distR="114300" simplePos="0" relativeHeight="251660288" behindDoc="0" locked="0" layoutInCell="1" hidden="0" allowOverlap="1" wp14:anchorId="54F85BE0" wp14:editId="56E98454">
          <wp:simplePos x="0" y="0"/>
          <wp:positionH relativeFrom="column">
            <wp:posOffset>-502919</wp:posOffset>
          </wp:positionH>
          <wp:positionV relativeFrom="paragraph">
            <wp:posOffset>-228599</wp:posOffset>
          </wp:positionV>
          <wp:extent cx="1645920" cy="420624"/>
          <wp:effectExtent l="0" t="0" r="0" b="0"/>
          <wp:wrapSquare wrapText="bothSides" distT="0" distB="0" distL="114300" distR="114300"/>
          <wp:docPr id="1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1645920" cy="420624"/>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57867031" wp14:editId="5B8AF44C">
          <wp:simplePos x="0" y="0"/>
          <wp:positionH relativeFrom="column">
            <wp:posOffset>6015990</wp:posOffset>
          </wp:positionH>
          <wp:positionV relativeFrom="paragraph">
            <wp:posOffset>-411479</wp:posOffset>
          </wp:positionV>
          <wp:extent cx="521208" cy="704088"/>
          <wp:effectExtent l="0" t="0" r="0" b="0"/>
          <wp:wrapSquare wrapText="bothSides" distT="0" distB="0" distL="114300" distR="11430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21208" cy="704088"/>
                  </a:xfrm>
                  <a:prstGeom prst="rect">
                    <a:avLst/>
                  </a:prstGeom>
                  <a:ln/>
                </pic:spPr>
              </pic:pic>
            </a:graphicData>
          </a:graphic>
        </wp:anchor>
      </w:drawing>
    </w:r>
  </w:p>
  <w:p w14:paraId="08479ED9" w14:textId="77777777" w:rsidR="00AD72A6" w:rsidRDefault="00AD72A6">
    <w:pPr>
      <w:pBdr>
        <w:top w:val="nil"/>
        <w:left w:val="nil"/>
        <w:bottom w:val="nil"/>
        <w:right w:val="nil"/>
        <w:between w:val="nil"/>
      </w:pBdr>
      <w:tabs>
        <w:tab w:val="center" w:pos="4320"/>
        <w:tab w:val="right" w:pos="8640"/>
        <w:tab w:val="center" w:pos="-468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52B66" w14:textId="77777777" w:rsidR="00C8295A" w:rsidRDefault="00C8295A">
      <w:r>
        <w:separator/>
      </w:r>
    </w:p>
  </w:footnote>
  <w:footnote w:type="continuationSeparator" w:id="0">
    <w:p w14:paraId="029E40CA" w14:textId="77777777" w:rsidR="00C8295A" w:rsidRDefault="00C829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5C2E" w14:textId="77777777" w:rsidR="00AD72A6" w:rsidRDefault="00AD72A6">
    <w:pPr>
      <w:pBdr>
        <w:top w:val="nil"/>
        <w:left w:val="nil"/>
        <w:bottom w:val="nil"/>
        <w:right w:val="nil"/>
        <w:between w:val="nil"/>
      </w:pBdr>
      <w:tabs>
        <w:tab w:val="center" w:pos="4320"/>
        <w:tab w:val="right" w:pos="8640"/>
        <w:tab w:val="left" w:pos="1695"/>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A4EB7" w14:textId="77777777" w:rsidR="00AD72A6" w:rsidRDefault="00C269B6">
    <w:pPr>
      <w:tabs>
        <w:tab w:val="left" w:pos="6553"/>
      </w:tabs>
      <w:jc w:val="center"/>
      <w:rPr>
        <w:rFonts w:ascii="Century Gothic" w:eastAsia="Century Gothic" w:hAnsi="Century Gothic" w:cs="Century Gothic"/>
        <w:b/>
      </w:rPr>
    </w:pPr>
    <w:r>
      <w:rPr>
        <w:rFonts w:ascii="Century Gothic" w:eastAsia="Century Gothic" w:hAnsi="Century Gothic" w:cs="Century Gothic"/>
        <w:b/>
      </w:rPr>
      <w:t>GOVERNMENT OF THE DISTRICT OF COLUMBIA</w:t>
    </w:r>
    <w:r>
      <w:rPr>
        <w:rFonts w:ascii="Century Gothic" w:eastAsia="Century Gothic" w:hAnsi="Century Gothic" w:cs="Century Gothic"/>
        <w:b/>
      </w:rPr>
      <w:br/>
    </w:r>
    <w:r>
      <w:rPr>
        <w:rFonts w:ascii="Century Gothic" w:eastAsia="Century Gothic" w:hAnsi="Century Gothic" w:cs="Century Gothic"/>
      </w:rPr>
      <w:t>Department of Energy and Environment</w:t>
    </w:r>
  </w:p>
  <w:p w14:paraId="143A9295" w14:textId="77777777" w:rsidR="00AD72A6" w:rsidRDefault="00AD72A6">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37F4"/>
    <w:multiLevelType w:val="multilevel"/>
    <w:tmpl w:val="799A99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C7C5C"/>
    <w:multiLevelType w:val="multilevel"/>
    <w:tmpl w:val="4DA2B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CCD38AF"/>
    <w:multiLevelType w:val="multilevel"/>
    <w:tmpl w:val="B7E450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802E02"/>
    <w:multiLevelType w:val="multilevel"/>
    <w:tmpl w:val="7CE8476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43B76AC"/>
    <w:multiLevelType w:val="multilevel"/>
    <w:tmpl w:val="FCAE3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E865FD"/>
    <w:multiLevelType w:val="hybridMultilevel"/>
    <w:tmpl w:val="B5A28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F58CB"/>
    <w:multiLevelType w:val="multilevel"/>
    <w:tmpl w:val="61EC39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23B3856"/>
    <w:multiLevelType w:val="multilevel"/>
    <w:tmpl w:val="085E5C80"/>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B0E4BF6"/>
    <w:multiLevelType w:val="multilevel"/>
    <w:tmpl w:val="B7CCAF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05953CC"/>
    <w:multiLevelType w:val="multilevel"/>
    <w:tmpl w:val="E8862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A391E70"/>
    <w:multiLevelType w:val="multilevel"/>
    <w:tmpl w:val="F1B8BA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
  </w:num>
  <w:num w:numId="3">
    <w:abstractNumId w:val="3"/>
  </w:num>
  <w:num w:numId="4">
    <w:abstractNumId w:val="8"/>
  </w:num>
  <w:num w:numId="5">
    <w:abstractNumId w:val="9"/>
  </w:num>
  <w:num w:numId="6">
    <w:abstractNumId w:val="1"/>
  </w:num>
  <w:num w:numId="7">
    <w:abstractNumId w:val="4"/>
  </w:num>
  <w:num w:numId="8">
    <w:abstractNumId w:val="10"/>
  </w:num>
  <w:num w:numId="9">
    <w:abstractNumId w:val="0"/>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2A6"/>
    <w:rsid w:val="00054E7F"/>
    <w:rsid w:val="00096411"/>
    <w:rsid w:val="0030106D"/>
    <w:rsid w:val="003261DD"/>
    <w:rsid w:val="006C0F65"/>
    <w:rsid w:val="00703674"/>
    <w:rsid w:val="007D595F"/>
    <w:rsid w:val="00831820"/>
    <w:rsid w:val="00924926"/>
    <w:rsid w:val="009854A3"/>
    <w:rsid w:val="009F0156"/>
    <w:rsid w:val="009F7FCE"/>
    <w:rsid w:val="00AD72A6"/>
    <w:rsid w:val="00B30BDF"/>
    <w:rsid w:val="00BF1FDA"/>
    <w:rsid w:val="00BF753F"/>
    <w:rsid w:val="00C269B6"/>
    <w:rsid w:val="00C8295A"/>
    <w:rsid w:val="00D4778F"/>
    <w:rsid w:val="00E215AB"/>
    <w:rsid w:val="00E9581F"/>
    <w:rsid w:val="00EC5CFE"/>
    <w:rsid w:val="00FA4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F3177"/>
  <w15:docId w15:val="{5C6EE620-31E3-4051-B544-A548278EA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7A15"/>
  </w:style>
  <w:style w:type="paragraph" w:styleId="Heading1">
    <w:name w:val="heading 1"/>
    <w:basedOn w:val="Normal"/>
    <w:next w:val="Normal"/>
    <w:uiPriority w:val="9"/>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uiPriority w:val="9"/>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B26DCC"/>
    <w:pPr>
      <w:keepNext/>
      <w:spacing w:before="240" w:after="60"/>
      <w:outlineLvl w:val="2"/>
    </w:pPr>
    <w:rPr>
      <w:rFonts w:ascii="Cambria" w:hAnsi="Cambria"/>
      <w:b/>
      <w:bCs/>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FD364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character" w:styleId="CommentReference">
    <w:name w:val="annotation reference"/>
    <w:basedOn w:val="DefaultParagraphFont"/>
    <w:rsid w:val="00D211A2"/>
    <w:rPr>
      <w:sz w:val="16"/>
      <w:szCs w:val="16"/>
    </w:rPr>
  </w:style>
  <w:style w:type="paragraph" w:styleId="CommentText">
    <w:name w:val="annotation text"/>
    <w:basedOn w:val="Normal"/>
    <w:link w:val="CommentTextChar"/>
    <w:rsid w:val="00D211A2"/>
    <w:rPr>
      <w:sz w:val="20"/>
      <w:szCs w:val="20"/>
    </w:rPr>
  </w:style>
  <w:style w:type="character" w:customStyle="1" w:styleId="CommentTextChar">
    <w:name w:val="Comment Text Char"/>
    <w:basedOn w:val="DefaultParagraphFont"/>
    <w:link w:val="CommentText"/>
    <w:rsid w:val="00D211A2"/>
  </w:style>
  <w:style w:type="paragraph" w:styleId="CommentSubject">
    <w:name w:val="annotation subject"/>
    <w:basedOn w:val="CommentText"/>
    <w:next w:val="CommentText"/>
    <w:link w:val="CommentSubjectChar"/>
    <w:rsid w:val="00D211A2"/>
    <w:rPr>
      <w:b/>
      <w:bCs/>
    </w:rPr>
  </w:style>
  <w:style w:type="character" w:customStyle="1" w:styleId="CommentSubjectChar">
    <w:name w:val="Comment Subject Char"/>
    <w:basedOn w:val="CommentTextChar"/>
    <w:link w:val="CommentSubject"/>
    <w:rsid w:val="00D211A2"/>
    <w:rPr>
      <w:b/>
      <w:bCs/>
    </w:rPr>
  </w:style>
  <w:style w:type="character" w:styleId="Emphasis">
    <w:name w:val="Emphasis"/>
    <w:basedOn w:val="DefaultParagraphFont"/>
    <w:uiPriority w:val="20"/>
    <w:qFormat/>
    <w:rsid w:val="00E42202"/>
    <w:rPr>
      <w:i/>
      <w:iCs/>
    </w:rPr>
  </w:style>
  <w:style w:type="paragraph" w:styleId="Revision">
    <w:name w:val="Revision"/>
    <w:hidden/>
    <w:uiPriority w:val="99"/>
    <w:semiHidden/>
    <w:rsid w:val="007C51A0"/>
  </w:style>
  <w:style w:type="paragraph" w:styleId="ListParagraph">
    <w:name w:val="List Paragraph"/>
    <w:basedOn w:val="Normal"/>
    <w:uiPriority w:val="34"/>
    <w:qFormat/>
    <w:rsid w:val="000161F5"/>
    <w:pPr>
      <w:ind w:left="720"/>
      <w:contextualSpacing/>
    </w:pPr>
  </w:style>
  <w:style w:type="paragraph" w:styleId="NormalWeb">
    <w:name w:val="Normal (Web)"/>
    <w:basedOn w:val="Normal"/>
    <w:uiPriority w:val="99"/>
    <w:unhideWhenUsed/>
    <w:rsid w:val="001F361D"/>
    <w:rPr>
      <w:rFonts w:eastAsiaTheme="minorHAnsi"/>
    </w:rPr>
  </w:style>
  <w:style w:type="character" w:styleId="FollowedHyperlink">
    <w:name w:val="FollowedHyperlink"/>
    <w:basedOn w:val="DefaultParagraphFont"/>
    <w:semiHidden/>
    <w:unhideWhenUsed/>
    <w:rsid w:val="000C5FD2"/>
    <w:rPr>
      <w:color w:val="800080" w:themeColor="followedHyperlink"/>
      <w:u w:val="single"/>
    </w:rPr>
  </w:style>
  <w:style w:type="character" w:customStyle="1" w:styleId="UnresolvedMention1">
    <w:name w:val="Unresolved Mention1"/>
    <w:basedOn w:val="DefaultParagraphFont"/>
    <w:uiPriority w:val="99"/>
    <w:semiHidden/>
    <w:unhideWhenUsed/>
    <w:rsid w:val="002E382A"/>
    <w:rPr>
      <w:color w:val="605E5C"/>
      <w:shd w:val="clear" w:color="auto" w:fill="E1DFDD"/>
    </w:rPr>
  </w:style>
  <w:style w:type="character" w:customStyle="1" w:styleId="Heading5Char">
    <w:name w:val="Heading 5 Char"/>
    <w:basedOn w:val="DefaultParagraphFont"/>
    <w:link w:val="Heading5"/>
    <w:semiHidden/>
    <w:rsid w:val="00FD3649"/>
    <w:rPr>
      <w:rFonts w:asciiTheme="majorHAnsi" w:eastAsiaTheme="majorEastAsia" w:hAnsiTheme="majorHAnsi" w:cstheme="majorBidi"/>
      <w:color w:val="243F60" w:themeColor="accent1" w:themeShade="7F"/>
      <w:sz w:val="24"/>
      <w:szCs w:val="24"/>
    </w:rPr>
  </w:style>
  <w:style w:type="character" w:styleId="UnresolvedMention">
    <w:name w:val="Unresolved Mention"/>
    <w:basedOn w:val="DefaultParagraphFont"/>
    <w:uiPriority w:val="99"/>
    <w:semiHidden/>
    <w:unhideWhenUsed/>
    <w:rsid w:val="00B04B21"/>
    <w:rPr>
      <w:color w:val="605E5C"/>
      <w:shd w:val="clear" w:color="auto" w:fill="E1DFDD"/>
    </w:rPr>
  </w:style>
  <w:style w:type="paragraph" w:customStyle="1" w:styleId="ui-chatitem">
    <w:name w:val="ui-chat__item"/>
    <w:basedOn w:val="Normal"/>
    <w:rsid w:val="008A5D97"/>
    <w:pPr>
      <w:spacing w:before="100" w:beforeAutospacing="1" w:after="100" w:afterAutospacing="1"/>
    </w:pPr>
  </w:style>
  <w:style w:type="character" w:customStyle="1" w:styleId="ui-text">
    <w:name w:val="ui-text"/>
    <w:basedOn w:val="DefaultParagraphFont"/>
    <w:rsid w:val="008A5D9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rS8BDPJ7lketS/6dN6dOsRKiMQ==">AMUW2mVjqagG191wOiwnmLxIWiM3vrFur0XARMMN/t0R2Nvh2+q9rp9HAHHvyCk7t35BfVi7jhHKeglsY2j9lnxZl1dL6mMQHfTUgNl98hnDre9azHDNpPAS5Ycf1xuoHOnwqxezCKC11wlC0l4Hcr4hVC6zfI9xgw==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1160</Words>
  <Characters>6616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Epley, David (DOEE)</cp:lastModifiedBy>
  <cp:revision>3</cp:revision>
  <dcterms:created xsi:type="dcterms:W3CDTF">2022-03-08T16:04:00Z</dcterms:created>
  <dcterms:modified xsi:type="dcterms:W3CDTF">2022-03-08T16:05:00Z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UFAAhWon0ndq8EyuxOxN+3EudF14Qnh4wMh/TvKBIaFFw0ZzHQQMu251d0O4T/aVnMtMBVcfIMmZHtsu
NA/Y2fE9254uy3fa4+Uz/APp6D+gG2RmpUItvg4hRHHwd4NwKaDfj2odXji8Dk8uNA/Y2fE9254u
y3fa4+Uz/APp6D+gG2RmpUItvg4hRHHwd4NwKaDf9aSZW753L5V5mj9vUMXgSlwsw8qNRC+MluAl
NTRJX8j4bYHEQmRLt</vt:lpwstr>
  </property>
  <property fmtid="{D5CDD505-2E9C-101B-9397-08002B2CF9AE}" pid="3" name="MAIL_MSG_ID2">
    <vt:lpwstr>VOFqh0vp3O5cWp1yiyRGysSxIIHSuRSL1Ip1YhRSxfCEUILQcahpj0/Jfti
28LgJCKan4idEfQy08CNhDwCnHc=</vt:lpwstr>
  </property>
  <property fmtid="{D5CDD505-2E9C-101B-9397-08002B2CF9AE}" pid="4" name="RESPONSE_SENDER_NAME">
    <vt:lpwstr>4AAA4Lxe55UJ0C+TLlsOI0k+Tv5gwFVQaS8uoq7PLr5iTGAqBKv4bj/ANA==</vt:lpwstr>
  </property>
  <property fmtid="{D5CDD505-2E9C-101B-9397-08002B2CF9AE}" pid="5" name="EMAIL_OWNER_ADDRESS">
    <vt:lpwstr>4AAAUmLmXdMZevQ3bZB7Ty9UtMedwKv8tJvzIlTOnAP5ghz5dZ99RijSUA==</vt:lpwstr>
  </property>
  <property fmtid="{D5CDD505-2E9C-101B-9397-08002B2CF9AE}" pid="6" name="ContentTypeId">
    <vt:lpwstr>0x010100CE5929168397D549A90BC8E2C1E53955</vt:lpwstr>
  </property>
</Properties>
</file>