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0F5D" w14:textId="26DED661" w:rsidR="00AD72A6" w:rsidRDefault="00C269B6" w:rsidP="00564536">
      <w:pPr>
        <w:tabs>
          <w:tab w:val="left" w:pos="6120"/>
        </w:tabs>
        <w:ind w:hanging="270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Sustainable energy Utility Advisory Board (SEUAB) </w:t>
      </w:r>
      <w:r w:rsidR="00564536">
        <w:rPr>
          <w:b/>
          <w:smallCaps/>
        </w:rPr>
        <w:t xml:space="preserve">Regular </w:t>
      </w:r>
      <w:r>
        <w:rPr>
          <w:b/>
          <w:smallCaps/>
        </w:rPr>
        <w:t>Meeting</w:t>
      </w:r>
    </w:p>
    <w:p w14:paraId="7D46100A" w14:textId="567442FC" w:rsidR="00AD72A6" w:rsidRDefault="00C269B6">
      <w:pPr>
        <w:jc w:val="center"/>
        <w:rPr>
          <w:b/>
          <w:smallCaps/>
        </w:rPr>
      </w:pPr>
      <w:r>
        <w:rPr>
          <w:b/>
          <w:smallCaps/>
        </w:rPr>
        <w:t xml:space="preserve">Tuesday, </w:t>
      </w:r>
      <w:r w:rsidR="00FC55DF">
        <w:rPr>
          <w:b/>
          <w:smallCaps/>
        </w:rPr>
        <w:t xml:space="preserve">March </w:t>
      </w:r>
      <w:r>
        <w:rPr>
          <w:b/>
          <w:smallCaps/>
        </w:rPr>
        <w:t>8, 2022</w:t>
      </w:r>
    </w:p>
    <w:p w14:paraId="03E244C0" w14:textId="77777777" w:rsidR="00AD72A6" w:rsidRDefault="00C269B6">
      <w:pPr>
        <w:ind w:left="5760" w:hanging="5760"/>
        <w:jc w:val="center"/>
      </w:pPr>
      <w:r>
        <w:rPr>
          <w:b/>
          <w:smallCaps/>
        </w:rPr>
        <w:t>10:00 AM – 12:00 PM</w:t>
      </w:r>
    </w:p>
    <w:p w14:paraId="1A7429A2" w14:textId="77777777" w:rsidR="00AD72A6" w:rsidRDefault="00AD72A6">
      <w:pPr>
        <w:ind w:left="5760" w:hanging="5760"/>
      </w:pPr>
    </w:p>
    <w:p w14:paraId="756DE1F2" w14:textId="77777777" w:rsidR="00AD72A6" w:rsidRDefault="00C269B6">
      <w:pPr>
        <w:rPr>
          <w:b/>
        </w:rPr>
      </w:pPr>
      <w:r>
        <w:rPr>
          <w:b/>
        </w:rPr>
        <w:t>Call to Order</w:t>
      </w:r>
    </w:p>
    <w:p w14:paraId="138206AA" w14:textId="77777777" w:rsidR="00AD72A6" w:rsidRDefault="00AD72A6">
      <w:pPr>
        <w:jc w:val="both"/>
      </w:pPr>
    </w:p>
    <w:p w14:paraId="7E466412" w14:textId="7466DBC8" w:rsidR="00AD72A6" w:rsidRDefault="00C269B6">
      <w:pPr>
        <w:jc w:val="both"/>
      </w:pPr>
      <w:r>
        <w:t>Chair Bicky Corman called a quorum of the Sustainable Energy Utility Advisory Board (SEUAB or Board) at 10:</w:t>
      </w:r>
      <w:r w:rsidR="00CD3CC7">
        <w:t xml:space="preserve">05 </w:t>
      </w:r>
      <w:r>
        <w:t xml:space="preserve">am, </w:t>
      </w:r>
      <w:r w:rsidR="00FC55DF">
        <w:t xml:space="preserve">March </w:t>
      </w:r>
      <w:r>
        <w:t>8, 2022. This was a Microsoft Teams video conference call meeting.</w:t>
      </w:r>
    </w:p>
    <w:p w14:paraId="6D7A0F35" w14:textId="77777777" w:rsidR="00AD72A6" w:rsidRDefault="00AD72A6">
      <w:pPr>
        <w:jc w:val="both"/>
      </w:pPr>
    </w:p>
    <w:p w14:paraId="7EA64A14" w14:textId="77777777" w:rsidR="00AD72A6" w:rsidRDefault="00C269B6">
      <w:pPr>
        <w:jc w:val="both"/>
        <w:rPr>
          <w:b/>
        </w:rPr>
      </w:pPr>
      <w:r>
        <w:rPr>
          <w:b/>
        </w:rPr>
        <w:t>Roll Call/Introductions</w:t>
      </w:r>
    </w:p>
    <w:p w14:paraId="4C74DBC6" w14:textId="77777777" w:rsidR="00AD72A6" w:rsidRDefault="00AD72A6">
      <w:pPr>
        <w:jc w:val="both"/>
        <w:rPr>
          <w:b/>
        </w:rPr>
      </w:pPr>
    </w:p>
    <w:p w14:paraId="7BB29C45" w14:textId="290A6CD0" w:rsidR="00AD72A6" w:rsidRDefault="00C269B6">
      <w:pPr>
        <w:jc w:val="both"/>
      </w:pPr>
      <w:r>
        <w:t>Roll call was taken at 10:</w:t>
      </w:r>
      <w:r w:rsidR="00CD3CC7">
        <w:t xml:space="preserve">06 </w:t>
      </w:r>
      <w:r>
        <w:t>am, and the following people were in attendance:</w:t>
      </w:r>
    </w:p>
    <w:p w14:paraId="0E21FD6D" w14:textId="77777777" w:rsidR="00AD72A6" w:rsidRDefault="00AD72A6">
      <w:pPr>
        <w:jc w:val="both"/>
      </w:pPr>
    </w:p>
    <w:p w14:paraId="490409E6" w14:textId="77777777" w:rsidR="00AD72A6" w:rsidRDefault="00C269B6">
      <w:pPr>
        <w:ind w:firstLine="720"/>
        <w:jc w:val="both"/>
      </w:pPr>
      <w:r>
        <w:rPr>
          <w:b/>
        </w:rPr>
        <w:t xml:space="preserve">Board Members: </w:t>
      </w:r>
    </w:p>
    <w:p w14:paraId="3AFCAB73" w14:textId="77777777" w:rsidR="00AD72A6" w:rsidRDefault="00C269B6">
      <w:pPr>
        <w:ind w:left="1440"/>
        <w:jc w:val="both"/>
        <w:rPr>
          <w:b/>
        </w:rPr>
      </w:pPr>
      <w:r>
        <w:t xml:space="preserve"> </w:t>
      </w:r>
    </w:p>
    <w:tbl>
      <w:tblPr>
        <w:tblStyle w:val="a"/>
        <w:tblW w:w="9439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9"/>
        <w:gridCol w:w="1800"/>
        <w:gridCol w:w="1980"/>
      </w:tblGrid>
      <w:tr w:rsidR="00AD72A6" w14:paraId="26BA20D8" w14:textId="77777777">
        <w:tc>
          <w:tcPr>
            <w:tcW w:w="5659" w:type="dxa"/>
          </w:tcPr>
          <w:p w14:paraId="0A4A2E07" w14:textId="77777777" w:rsidR="00AD72A6" w:rsidRDefault="00C269B6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0" w:type="dxa"/>
            <w:vAlign w:val="center"/>
          </w:tcPr>
          <w:p w14:paraId="5AD46E73" w14:textId="77777777" w:rsidR="00AD72A6" w:rsidRDefault="00C269B6">
            <w:pPr>
              <w:jc w:val="center"/>
              <w:rPr>
                <w:b/>
              </w:rPr>
            </w:pPr>
            <w:r>
              <w:rPr>
                <w:b/>
              </w:rPr>
              <w:t>In Attendance?</w:t>
            </w:r>
          </w:p>
        </w:tc>
        <w:tc>
          <w:tcPr>
            <w:tcW w:w="1980" w:type="dxa"/>
            <w:vAlign w:val="center"/>
          </w:tcPr>
          <w:p w14:paraId="229E1C8D" w14:textId="77777777" w:rsidR="00AD72A6" w:rsidRDefault="00C269B6">
            <w:pPr>
              <w:jc w:val="center"/>
              <w:rPr>
                <w:b/>
              </w:rPr>
            </w:pPr>
            <w:r>
              <w:rPr>
                <w:b/>
              </w:rPr>
              <w:t>FY 2022 Attendance Record</w:t>
            </w:r>
          </w:p>
        </w:tc>
      </w:tr>
      <w:tr w:rsidR="00AD72A6" w14:paraId="67DFCF22" w14:textId="77777777">
        <w:tc>
          <w:tcPr>
            <w:tcW w:w="5659" w:type="dxa"/>
          </w:tcPr>
          <w:p w14:paraId="4D8ACD38" w14:textId="77777777" w:rsidR="00AD72A6" w:rsidRDefault="00C269B6">
            <w:pPr>
              <w:jc w:val="both"/>
            </w:pPr>
            <w:r>
              <w:t>Bicky Corman (Board Chair)</w:t>
            </w:r>
          </w:p>
        </w:tc>
        <w:tc>
          <w:tcPr>
            <w:tcW w:w="1800" w:type="dxa"/>
            <w:vAlign w:val="center"/>
          </w:tcPr>
          <w:p w14:paraId="60EFB382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6C67E15" w14:textId="7D4511D1" w:rsidR="00AD72A6" w:rsidRDefault="00CD3CC7">
            <w:pPr>
              <w:jc w:val="center"/>
            </w:pPr>
            <w:r>
              <w:t>8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78845444" w14:textId="77777777">
        <w:tc>
          <w:tcPr>
            <w:tcW w:w="5659" w:type="dxa"/>
          </w:tcPr>
          <w:p w14:paraId="101A2D96" w14:textId="7A40AD42" w:rsidR="00AD72A6" w:rsidRDefault="00C269B6">
            <w:pPr>
              <w:jc w:val="both"/>
            </w:pPr>
            <w:r>
              <w:t>Millie Knowlton (Vice Chair</w:t>
            </w:r>
            <w:r w:rsidR="00DF7E84">
              <w:t xml:space="preserve"> – Building Construction</w:t>
            </w:r>
            <w:r>
              <w:t>)</w:t>
            </w:r>
          </w:p>
        </w:tc>
        <w:tc>
          <w:tcPr>
            <w:tcW w:w="1800" w:type="dxa"/>
            <w:vAlign w:val="center"/>
          </w:tcPr>
          <w:p w14:paraId="57538BFD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B2E411A" w14:textId="15DFA995" w:rsidR="00AD72A6" w:rsidRDefault="00CD3CC7">
            <w:pPr>
              <w:jc w:val="center"/>
            </w:pPr>
            <w:r>
              <w:t>7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74316AB3" w14:textId="77777777">
        <w:tc>
          <w:tcPr>
            <w:tcW w:w="5659" w:type="dxa"/>
          </w:tcPr>
          <w:p w14:paraId="07A19C08" w14:textId="77777777" w:rsidR="00AD72A6" w:rsidRDefault="00C269B6">
            <w:pPr>
              <w:jc w:val="both"/>
            </w:pPr>
            <w:r>
              <w:t>Sandra Mattavous-Frye (or OPC proxy)</w:t>
            </w:r>
          </w:p>
        </w:tc>
        <w:tc>
          <w:tcPr>
            <w:tcW w:w="1800" w:type="dxa"/>
            <w:vAlign w:val="center"/>
          </w:tcPr>
          <w:p w14:paraId="5DEBA4F6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4246B34" w14:textId="105904AD" w:rsidR="00AD72A6" w:rsidRDefault="00CD3CC7">
            <w:pPr>
              <w:jc w:val="center"/>
            </w:pPr>
            <w:r>
              <w:t>8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1FC81A20" w14:textId="77777777">
        <w:tc>
          <w:tcPr>
            <w:tcW w:w="5659" w:type="dxa"/>
          </w:tcPr>
          <w:p w14:paraId="26D759CD" w14:textId="77777777" w:rsidR="00AD72A6" w:rsidRDefault="00C269B6">
            <w:pPr>
              <w:jc w:val="both"/>
            </w:pPr>
            <w:r>
              <w:t>Cary Hinton (PSC)</w:t>
            </w:r>
          </w:p>
        </w:tc>
        <w:tc>
          <w:tcPr>
            <w:tcW w:w="1800" w:type="dxa"/>
            <w:vAlign w:val="center"/>
          </w:tcPr>
          <w:p w14:paraId="2E9CE238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39F4287" w14:textId="4187F9FC" w:rsidR="00AD72A6" w:rsidRDefault="00CD3CC7">
            <w:pPr>
              <w:jc w:val="center"/>
            </w:pPr>
            <w:r>
              <w:t>7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7023948D" w14:textId="77777777">
        <w:tc>
          <w:tcPr>
            <w:tcW w:w="5659" w:type="dxa"/>
          </w:tcPr>
          <w:p w14:paraId="5A9EF260" w14:textId="77777777" w:rsidR="00AD72A6" w:rsidRDefault="00C269B6">
            <w:pPr>
              <w:jc w:val="both"/>
            </w:pPr>
            <w:r>
              <w:t>Donna Cooper (Electric Company)</w:t>
            </w:r>
          </w:p>
        </w:tc>
        <w:tc>
          <w:tcPr>
            <w:tcW w:w="1800" w:type="dxa"/>
            <w:vAlign w:val="center"/>
          </w:tcPr>
          <w:p w14:paraId="1EC521EC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BB3146F" w14:textId="1AEEADF6" w:rsidR="00AD72A6" w:rsidRDefault="00CD3CC7">
            <w:pPr>
              <w:jc w:val="center"/>
            </w:pPr>
            <w:r>
              <w:t>8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086B763C" w14:textId="77777777">
        <w:tc>
          <w:tcPr>
            <w:tcW w:w="5659" w:type="dxa"/>
          </w:tcPr>
          <w:p w14:paraId="2006E833" w14:textId="274E5A45" w:rsidR="00AD72A6" w:rsidRDefault="00C269B6">
            <w:pPr>
              <w:jc w:val="both"/>
            </w:pPr>
            <w:r>
              <w:t>Eric Jones (Building</w:t>
            </w:r>
            <w:r w:rsidR="00DF7E84">
              <w:t xml:space="preserve"> Management</w:t>
            </w:r>
            <w:r>
              <w:t>)</w:t>
            </w:r>
          </w:p>
        </w:tc>
        <w:tc>
          <w:tcPr>
            <w:tcW w:w="1800" w:type="dxa"/>
            <w:vAlign w:val="center"/>
          </w:tcPr>
          <w:p w14:paraId="4406B37C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0207669" w14:textId="48A15321" w:rsidR="00AD72A6" w:rsidRDefault="00276490">
            <w:pPr>
              <w:jc w:val="center"/>
            </w:pPr>
            <w:r>
              <w:t>7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2011A081" w14:textId="77777777">
        <w:tc>
          <w:tcPr>
            <w:tcW w:w="5659" w:type="dxa"/>
          </w:tcPr>
          <w:p w14:paraId="1DA39857" w14:textId="77777777" w:rsidR="00AD72A6" w:rsidRDefault="00C269B6">
            <w:pPr>
              <w:jc w:val="both"/>
            </w:pPr>
            <w:r>
              <w:t>Nina Dodge (Environment)</w:t>
            </w:r>
          </w:p>
        </w:tc>
        <w:tc>
          <w:tcPr>
            <w:tcW w:w="1800" w:type="dxa"/>
            <w:vAlign w:val="center"/>
          </w:tcPr>
          <w:p w14:paraId="28181274" w14:textId="77777777" w:rsidR="00AD72A6" w:rsidRDefault="00C269B6">
            <w:pPr>
              <w:tabs>
                <w:tab w:val="left" w:pos="592"/>
                <w:tab w:val="center" w:pos="837"/>
              </w:tabs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E88C59B" w14:textId="21327226" w:rsidR="00AD72A6" w:rsidRDefault="00CD3CC7">
            <w:pPr>
              <w:jc w:val="center"/>
            </w:pPr>
            <w:r>
              <w:t>8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14FA43D9" w14:textId="77777777">
        <w:tc>
          <w:tcPr>
            <w:tcW w:w="5659" w:type="dxa"/>
          </w:tcPr>
          <w:p w14:paraId="5F473C7E" w14:textId="77777777" w:rsidR="00AD72A6" w:rsidRDefault="00C269B6">
            <w:pPr>
              <w:jc w:val="both"/>
            </w:pPr>
            <w:r>
              <w:t>Marshall Duer-Balkind (Councilmember Cheh)</w:t>
            </w:r>
          </w:p>
        </w:tc>
        <w:tc>
          <w:tcPr>
            <w:tcW w:w="1800" w:type="dxa"/>
            <w:vAlign w:val="center"/>
          </w:tcPr>
          <w:p w14:paraId="4AE8A07D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961B8C5" w14:textId="0B5E2E3E" w:rsidR="00AD72A6" w:rsidRDefault="00CD3CC7">
            <w:pPr>
              <w:jc w:val="center"/>
            </w:pPr>
            <w:r>
              <w:t>8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1A3209DC" w14:textId="77777777">
        <w:tc>
          <w:tcPr>
            <w:tcW w:w="5659" w:type="dxa"/>
          </w:tcPr>
          <w:p w14:paraId="60098CFC" w14:textId="77777777" w:rsidR="00AD72A6" w:rsidRDefault="00C269B6">
            <w:pPr>
              <w:jc w:val="both"/>
            </w:pPr>
            <w:bookmarkStart w:id="1" w:name="_heading=h.gjdgxs" w:colFirst="0" w:colLast="0"/>
            <w:bookmarkEnd w:id="1"/>
            <w:r>
              <w:t>Jamal Lewis - Low-Income Community</w:t>
            </w:r>
          </w:p>
        </w:tc>
        <w:tc>
          <w:tcPr>
            <w:tcW w:w="1800" w:type="dxa"/>
            <w:vAlign w:val="center"/>
          </w:tcPr>
          <w:p w14:paraId="69727F61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88D924A" w14:textId="7C2D7B1A" w:rsidR="00AD72A6" w:rsidRDefault="00CD3CC7">
            <w:pPr>
              <w:jc w:val="center"/>
            </w:pPr>
            <w:r>
              <w:t>6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658C5F6B" w14:textId="77777777">
        <w:tc>
          <w:tcPr>
            <w:tcW w:w="5659" w:type="dxa"/>
          </w:tcPr>
          <w:p w14:paraId="0CB102C2" w14:textId="77777777" w:rsidR="00AD72A6" w:rsidRDefault="00C269B6">
            <w:pPr>
              <w:jc w:val="both"/>
            </w:pPr>
            <w:bookmarkStart w:id="2" w:name="_heading=h.30j0zll" w:colFirst="0" w:colLast="0"/>
            <w:bookmarkEnd w:id="2"/>
            <w:r>
              <w:t>Matthias Paustian – Council Chairperson Mendelson</w:t>
            </w:r>
          </w:p>
        </w:tc>
        <w:tc>
          <w:tcPr>
            <w:tcW w:w="1800" w:type="dxa"/>
            <w:vAlign w:val="center"/>
          </w:tcPr>
          <w:p w14:paraId="7DC38B0A" w14:textId="77D88177" w:rsidR="00AD72A6" w:rsidRDefault="00276490">
            <w:pPr>
              <w:jc w:val="center"/>
            </w:pPr>
            <w:r>
              <w:t>No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1B9F22C" w14:textId="47EB9729" w:rsidR="00AD72A6" w:rsidRDefault="00C269B6">
            <w:pPr>
              <w:jc w:val="center"/>
            </w:pPr>
            <w:r>
              <w:t>3/</w:t>
            </w:r>
            <w:r w:rsidR="00FC55DF">
              <w:t>8</w:t>
            </w:r>
          </w:p>
        </w:tc>
      </w:tr>
      <w:tr w:rsidR="00AD72A6" w14:paraId="6AE58CAB" w14:textId="77777777">
        <w:tc>
          <w:tcPr>
            <w:tcW w:w="5659" w:type="dxa"/>
          </w:tcPr>
          <w:p w14:paraId="5535791E" w14:textId="77777777" w:rsidR="00AD72A6" w:rsidRDefault="00C269B6">
            <w:pPr>
              <w:jc w:val="both"/>
            </w:pPr>
            <w:r>
              <w:t xml:space="preserve">Mishal Thadani -Economic Development </w:t>
            </w:r>
          </w:p>
        </w:tc>
        <w:tc>
          <w:tcPr>
            <w:tcW w:w="1800" w:type="dxa"/>
            <w:vAlign w:val="center"/>
          </w:tcPr>
          <w:p w14:paraId="7F74474A" w14:textId="3412CD26" w:rsidR="00AD72A6" w:rsidRDefault="00276490">
            <w:pPr>
              <w:jc w:val="center"/>
            </w:pPr>
            <w:r>
              <w:t>No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ADFE875" w14:textId="5054E8B2" w:rsidR="00AD72A6" w:rsidRDefault="00C269B6">
            <w:pPr>
              <w:jc w:val="center"/>
            </w:pPr>
            <w:r>
              <w:t>4/</w:t>
            </w:r>
            <w:r w:rsidR="00FC55DF">
              <w:t>8</w:t>
            </w:r>
          </w:p>
        </w:tc>
      </w:tr>
      <w:tr w:rsidR="00AD72A6" w14:paraId="201D8D35" w14:textId="77777777">
        <w:tc>
          <w:tcPr>
            <w:tcW w:w="5659" w:type="dxa"/>
          </w:tcPr>
          <w:p w14:paraId="035276DC" w14:textId="77777777" w:rsidR="00AD72A6" w:rsidRDefault="00C269B6">
            <w:pPr>
              <w:jc w:val="both"/>
            </w:pPr>
            <w:r>
              <w:t>Sasha Srivastava - Renewable Energy</w:t>
            </w:r>
          </w:p>
        </w:tc>
        <w:tc>
          <w:tcPr>
            <w:tcW w:w="1800" w:type="dxa"/>
            <w:vAlign w:val="center"/>
          </w:tcPr>
          <w:p w14:paraId="0DA6776B" w14:textId="77777777" w:rsidR="00AD72A6" w:rsidRDefault="00C269B6">
            <w:pPr>
              <w:jc w:val="center"/>
            </w:pPr>
            <w: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63FFEC4" w14:textId="3085BA35" w:rsidR="00AD72A6" w:rsidRDefault="00CD3CC7">
            <w:pPr>
              <w:jc w:val="center"/>
            </w:pPr>
            <w:r>
              <w:t>6</w:t>
            </w:r>
            <w:r w:rsidR="00C269B6">
              <w:t>/</w:t>
            </w:r>
            <w:r w:rsidR="00FC55DF">
              <w:t>8</w:t>
            </w:r>
          </w:p>
        </w:tc>
      </w:tr>
      <w:tr w:rsidR="00AD72A6" w14:paraId="0A25746C" w14:textId="77777777">
        <w:tc>
          <w:tcPr>
            <w:tcW w:w="5659" w:type="dxa"/>
          </w:tcPr>
          <w:p w14:paraId="28BEE23A" w14:textId="5AFC8E61" w:rsidR="00AD72A6" w:rsidRDefault="00E9581F">
            <w:pPr>
              <w:jc w:val="both"/>
              <w:rPr>
                <w:b/>
              </w:rPr>
            </w:pPr>
            <w:r>
              <w:rPr>
                <w:b/>
              </w:rPr>
              <w:t>Vacant</w:t>
            </w:r>
            <w:r w:rsidR="00C269B6">
              <w:rPr>
                <w:b/>
              </w:rPr>
              <w:t xml:space="preserve"> </w:t>
            </w:r>
            <w:r>
              <w:rPr>
                <w:b/>
              </w:rPr>
              <w:t>(Gas Utility)</w:t>
            </w:r>
          </w:p>
        </w:tc>
        <w:tc>
          <w:tcPr>
            <w:tcW w:w="1800" w:type="dxa"/>
            <w:vAlign w:val="center"/>
          </w:tcPr>
          <w:p w14:paraId="3DF998D9" w14:textId="77B0214A" w:rsidR="00AD72A6" w:rsidRDefault="00E9581F">
            <w:pPr>
              <w:jc w:val="center"/>
            </w:pPr>
            <w:r>
              <w:t>No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B698524" w14:textId="15455F32" w:rsidR="00AD72A6" w:rsidRDefault="00E9581F">
            <w:pPr>
              <w:jc w:val="center"/>
            </w:pPr>
            <w:r>
              <w:t>0/</w:t>
            </w:r>
            <w:r w:rsidR="00FC55DF">
              <w:t>8</w:t>
            </w:r>
          </w:p>
        </w:tc>
      </w:tr>
    </w:tbl>
    <w:p w14:paraId="49A2A8C6" w14:textId="77777777" w:rsidR="00AD72A6" w:rsidRDefault="00AD72A6">
      <w:pPr>
        <w:ind w:left="720"/>
        <w:jc w:val="both"/>
        <w:rPr>
          <w:b/>
        </w:rPr>
      </w:pPr>
    </w:p>
    <w:p w14:paraId="00319A23" w14:textId="3BA0F1A8" w:rsidR="00AD72A6" w:rsidRDefault="00C269B6">
      <w:pPr>
        <w:ind w:right="18"/>
        <w:jc w:val="both"/>
      </w:pPr>
      <w:r>
        <w:rPr>
          <w:b/>
        </w:rPr>
        <w:t xml:space="preserve">Other Attendees: </w:t>
      </w:r>
      <w:r>
        <w:t>Angela Johnson (DCSEU),</w:t>
      </w:r>
      <w:r>
        <w:rPr>
          <w:b/>
        </w:rPr>
        <w:t xml:space="preserve"> </w:t>
      </w:r>
      <w:r>
        <w:t>Lance Loncke (Sr. Program Analyst, DOEE); Dave Epley (Associate Director, DOEE); Patti Boyd (DCSEU); Sarah Kogel-Smucker (OPC); Yohannes Mariam (OPC); LaKeisha Lockwood (DOEE); Theodore Trabue (DCSEU); Brandon Bowles (DCSEU); Daniel Conner (DOEE); Karen Sistrunk (OPC); Hussain Karim (DOEE); Tamara Christopher (DCSEU); Yohannes Mariam (OPC); Zoe Heller (DCSEU); Ed Brady (PEER/DCSEU)</w:t>
      </w:r>
      <w:r w:rsidR="00E9581F">
        <w:t xml:space="preserve">; </w:t>
      </w:r>
      <w:r w:rsidR="00CD3CC7">
        <w:t xml:space="preserve">Benjamin Burdick (DCSEU); Tommy Wells (DOEE); James Pittman (PEPCO); </w:t>
      </w:r>
    </w:p>
    <w:p w14:paraId="4375A848" w14:textId="77777777" w:rsidR="00AD72A6" w:rsidRDefault="00AD72A6">
      <w:pPr>
        <w:ind w:right="18"/>
        <w:jc w:val="both"/>
        <w:rPr>
          <w:b/>
        </w:rPr>
      </w:pPr>
    </w:p>
    <w:p w14:paraId="13C5AA93" w14:textId="598F4AF0" w:rsidR="00AD72A6" w:rsidRDefault="00C269B6">
      <w:pPr>
        <w:ind w:right="18"/>
        <w:jc w:val="both"/>
        <w:rPr>
          <w:b/>
        </w:rPr>
      </w:pPr>
      <w:r>
        <w:rPr>
          <w:b/>
        </w:rPr>
        <w:t xml:space="preserve">Approval </w:t>
      </w:r>
      <w:r w:rsidR="00875E0F">
        <w:rPr>
          <w:b/>
        </w:rPr>
        <w:t xml:space="preserve">and Amendment of the </w:t>
      </w:r>
      <w:r>
        <w:rPr>
          <w:b/>
        </w:rPr>
        <w:t>Agenda</w:t>
      </w:r>
    </w:p>
    <w:p w14:paraId="6AD4917F" w14:textId="0DB1CC7F" w:rsidR="00276490" w:rsidRDefault="00276490">
      <w:pPr>
        <w:ind w:right="18"/>
        <w:jc w:val="both"/>
        <w:rPr>
          <w:b/>
        </w:rPr>
      </w:pPr>
    </w:p>
    <w:p w14:paraId="78FEDA15" w14:textId="769CF7E9" w:rsidR="00276490" w:rsidRPr="00BA6A14" w:rsidRDefault="00276490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r w:rsidRPr="00BA6A14">
        <w:rPr>
          <w:bCs/>
        </w:rPr>
        <w:t>No legislative updates-strike from the agenda</w:t>
      </w:r>
    </w:p>
    <w:p w14:paraId="7EDFA5D8" w14:textId="23B0240F" w:rsidR="00247846" w:rsidRPr="00BA6A14" w:rsidRDefault="00247846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r w:rsidRPr="00BA6A14">
        <w:rPr>
          <w:bCs/>
        </w:rPr>
        <w:t>Amend agenda to include discussion of Vice Chair</w:t>
      </w:r>
      <w:r w:rsidR="00875E0F">
        <w:rPr>
          <w:bCs/>
        </w:rPr>
        <w:t>’s departure</w:t>
      </w:r>
    </w:p>
    <w:p w14:paraId="385EC6F0" w14:textId="08C90E66" w:rsidR="00247846" w:rsidRPr="00BA6A14" w:rsidRDefault="00247846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r w:rsidRPr="00BA6A14">
        <w:rPr>
          <w:bCs/>
        </w:rPr>
        <w:t>Ms. Dodge suggested a Special Meeting to discuss the DCSEU Strategic Plan.  Mr. Duer-Balkind moved to remove the Strategic plan discussion and reserve the April meeting for comments.</w:t>
      </w:r>
      <w:r w:rsidR="00893ED5" w:rsidRPr="00BA6A14">
        <w:rPr>
          <w:bCs/>
        </w:rPr>
        <w:t xml:space="preserve">  Mr. </w:t>
      </w:r>
      <w:r w:rsidR="00893ED5" w:rsidRPr="00BA6A14">
        <w:rPr>
          <w:bCs/>
        </w:rPr>
        <w:lastRenderedPageBreak/>
        <w:t>Jones recommended that the comments be circulated prior to the meeting so they are not being reviewed during the meeting.</w:t>
      </w:r>
    </w:p>
    <w:p w14:paraId="69A885C0" w14:textId="4DD3202D" w:rsidR="00893ED5" w:rsidRPr="00BA6A14" w:rsidRDefault="00060821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r w:rsidRPr="00BA6A14">
        <w:rPr>
          <w:bCs/>
        </w:rPr>
        <w:t xml:space="preserve">April Meeting has been moved from Tuesday, April 12 to Tuesday, April </w:t>
      </w:r>
      <w:r w:rsidR="00337672">
        <w:rPr>
          <w:bCs/>
        </w:rPr>
        <w:t>19</w:t>
      </w:r>
      <w:r w:rsidRPr="00BA6A14">
        <w:rPr>
          <w:bCs/>
        </w:rPr>
        <w:t xml:space="preserve">, </w:t>
      </w:r>
      <w:r w:rsidR="00285BA3" w:rsidRPr="00BA6A14">
        <w:rPr>
          <w:bCs/>
        </w:rPr>
        <w:t>2022</w:t>
      </w:r>
      <w:r w:rsidR="00875E0F">
        <w:rPr>
          <w:bCs/>
        </w:rPr>
        <w:t xml:space="preserve"> from 10am-12pm</w:t>
      </w:r>
      <w:r w:rsidRPr="00BA6A14">
        <w:rPr>
          <w:bCs/>
        </w:rPr>
        <w:t xml:space="preserve"> for discussion of the DCSEU Strategic Plan.  </w:t>
      </w:r>
      <w:r w:rsidR="00875E0F">
        <w:rPr>
          <w:bCs/>
        </w:rPr>
        <w:t>Board members should submit</w:t>
      </w:r>
      <w:r w:rsidRPr="00BA6A14">
        <w:rPr>
          <w:bCs/>
        </w:rPr>
        <w:t xml:space="preserve"> comments to DOEE by COB on April 4, 2022.  DOEE will </w:t>
      </w:r>
      <w:r w:rsidR="00CB058C" w:rsidRPr="00BA6A14">
        <w:rPr>
          <w:bCs/>
        </w:rPr>
        <w:t>compile the comments and send around for review on April 11, 2022.</w:t>
      </w:r>
    </w:p>
    <w:p w14:paraId="47BA6ED8" w14:textId="61601656" w:rsidR="00CB058C" w:rsidRPr="00BA6A14" w:rsidRDefault="00CB058C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bookmarkStart w:id="3" w:name="_Hlk97633331"/>
      <w:r w:rsidRPr="00BA6A14">
        <w:rPr>
          <w:bCs/>
        </w:rPr>
        <w:t>Fuel Switching Tracking Requirement deferred for May meeting.  OPC will circulate their stance on the issue prior to the meeting</w:t>
      </w:r>
    </w:p>
    <w:bookmarkEnd w:id="3"/>
    <w:p w14:paraId="673BFF4D" w14:textId="32AEB440" w:rsidR="00CB058C" w:rsidRPr="00BA6A14" w:rsidRDefault="00875E0F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r>
        <w:rPr>
          <w:bCs/>
        </w:rPr>
        <w:t>“</w:t>
      </w:r>
      <w:r w:rsidR="00CB058C" w:rsidRPr="00BA6A14">
        <w:rPr>
          <w:bCs/>
        </w:rPr>
        <w:t>DCSEU Needs from the Board</w:t>
      </w:r>
      <w:r>
        <w:rPr>
          <w:bCs/>
        </w:rPr>
        <w:t>”</w:t>
      </w:r>
      <w:r w:rsidR="00CB058C" w:rsidRPr="00BA6A14">
        <w:rPr>
          <w:bCs/>
        </w:rPr>
        <w:t xml:space="preserve"> deferred to Strategic Plan discussion meeting</w:t>
      </w:r>
    </w:p>
    <w:p w14:paraId="2B3A2B27" w14:textId="51DE780C" w:rsidR="00CB058C" w:rsidRPr="00BA6A14" w:rsidRDefault="00CB058C" w:rsidP="00BA6A14">
      <w:pPr>
        <w:pStyle w:val="ListParagraph"/>
        <w:numPr>
          <w:ilvl w:val="0"/>
          <w:numId w:val="16"/>
        </w:numPr>
        <w:ind w:right="18"/>
        <w:jc w:val="both"/>
        <w:rPr>
          <w:bCs/>
        </w:rPr>
      </w:pPr>
      <w:r w:rsidRPr="00BA6A14">
        <w:rPr>
          <w:bCs/>
        </w:rPr>
        <w:t xml:space="preserve">Mr. Jones moved </w:t>
      </w:r>
      <w:r w:rsidR="009F5CFC" w:rsidRPr="00BA6A14">
        <w:rPr>
          <w:bCs/>
        </w:rPr>
        <w:t xml:space="preserve">to </w:t>
      </w:r>
      <w:r w:rsidRPr="00BA6A14">
        <w:rPr>
          <w:bCs/>
        </w:rPr>
        <w:t>approve the agenda as amended; Ms. Mattavous-Frye seconded the motion.  All were in favor, none opposed</w:t>
      </w:r>
    </w:p>
    <w:p w14:paraId="15B87DB1" w14:textId="79A6319F" w:rsidR="00AD72A6" w:rsidRDefault="00AD72A6">
      <w:pPr>
        <w:jc w:val="both"/>
      </w:pPr>
    </w:p>
    <w:p w14:paraId="77CAA8E7" w14:textId="20FEC161" w:rsidR="00FC55DF" w:rsidRDefault="00FC55DF">
      <w:pPr>
        <w:jc w:val="both"/>
        <w:rPr>
          <w:b/>
          <w:bCs/>
        </w:rPr>
      </w:pPr>
      <w:r w:rsidRPr="00BA6A14">
        <w:rPr>
          <w:b/>
          <w:bCs/>
        </w:rPr>
        <w:t xml:space="preserve">Approval of </w:t>
      </w:r>
      <w:r w:rsidR="009F5CFC">
        <w:rPr>
          <w:b/>
          <w:bCs/>
        </w:rPr>
        <w:t xml:space="preserve">February </w:t>
      </w:r>
      <w:r w:rsidRPr="00BA6A14">
        <w:rPr>
          <w:b/>
          <w:bCs/>
        </w:rPr>
        <w:t>Meeting Minutes</w:t>
      </w:r>
    </w:p>
    <w:p w14:paraId="062634E4" w14:textId="5CD81E7A" w:rsidR="009F5CFC" w:rsidRDefault="009F5CFC">
      <w:pPr>
        <w:jc w:val="both"/>
        <w:rPr>
          <w:b/>
          <w:bCs/>
        </w:rPr>
      </w:pPr>
    </w:p>
    <w:p w14:paraId="06E3CE07" w14:textId="7EC8AED3" w:rsidR="009F5CFC" w:rsidRDefault="009F5CFC" w:rsidP="00BA6A14">
      <w:pPr>
        <w:pStyle w:val="ListParagraph"/>
        <w:numPr>
          <w:ilvl w:val="0"/>
          <w:numId w:val="15"/>
        </w:numPr>
        <w:jc w:val="both"/>
      </w:pPr>
      <w:r>
        <w:t xml:space="preserve">Chair Corman moved to </w:t>
      </w:r>
      <w:r w:rsidR="00F74BCC">
        <w:t>a</w:t>
      </w:r>
      <w:r>
        <w:t xml:space="preserve">dd a </w:t>
      </w:r>
      <w:r w:rsidR="00F74BCC">
        <w:t>“</w:t>
      </w:r>
      <w:r>
        <w:t>Future Agenda Items</w:t>
      </w:r>
      <w:r w:rsidR="00F74BCC">
        <w:t>”</w:t>
      </w:r>
      <w:r>
        <w:t xml:space="preserve"> section into the meeting minutes; Mr. Duer-Balkind seconded the motion.  All were in favor, none opposed</w:t>
      </w:r>
    </w:p>
    <w:p w14:paraId="459E570C" w14:textId="00B236F2" w:rsidR="009F5CFC" w:rsidRPr="00BA6A14" w:rsidRDefault="009F5CFC" w:rsidP="00BA6A14">
      <w:pPr>
        <w:pStyle w:val="ListParagraph"/>
        <w:numPr>
          <w:ilvl w:val="0"/>
          <w:numId w:val="15"/>
        </w:numPr>
        <w:jc w:val="both"/>
      </w:pPr>
      <w:r>
        <w:t xml:space="preserve">Chair Corman moved to </w:t>
      </w:r>
      <w:r w:rsidR="00285BA3">
        <w:t>approve</w:t>
      </w:r>
      <w:r>
        <w:t xml:space="preserve"> the minutes as amended; </w:t>
      </w:r>
      <w:r w:rsidR="0082520D">
        <w:t>Ms. Mattavous-Frye seconded the motion.  All were in favored, none opposed</w:t>
      </w:r>
    </w:p>
    <w:p w14:paraId="56E61391" w14:textId="72E8E1DD" w:rsidR="00FC55DF" w:rsidRDefault="00FC55DF">
      <w:pPr>
        <w:jc w:val="both"/>
        <w:rPr>
          <w:b/>
          <w:bCs/>
        </w:rPr>
      </w:pPr>
    </w:p>
    <w:p w14:paraId="23001A73" w14:textId="7813709B" w:rsidR="00FC55DF" w:rsidRDefault="00FC55DF">
      <w:pPr>
        <w:jc w:val="both"/>
        <w:rPr>
          <w:b/>
          <w:bCs/>
        </w:rPr>
      </w:pPr>
      <w:r>
        <w:rPr>
          <w:b/>
          <w:bCs/>
        </w:rPr>
        <w:t>Plan for New Member Orientation</w:t>
      </w:r>
      <w:r w:rsidR="000A63D1">
        <w:rPr>
          <w:b/>
          <w:bCs/>
        </w:rPr>
        <w:t xml:space="preserve">/Board Member Changes </w:t>
      </w:r>
    </w:p>
    <w:p w14:paraId="572CA482" w14:textId="66AFFD4B" w:rsidR="009F5CFC" w:rsidRDefault="009F5CFC">
      <w:pPr>
        <w:jc w:val="both"/>
        <w:rPr>
          <w:b/>
          <w:bCs/>
        </w:rPr>
      </w:pPr>
    </w:p>
    <w:p w14:paraId="258412DA" w14:textId="77777777" w:rsidR="000A63D1" w:rsidRDefault="000A63D1" w:rsidP="0082520D">
      <w:pPr>
        <w:pStyle w:val="ListParagraph"/>
        <w:numPr>
          <w:ilvl w:val="0"/>
          <w:numId w:val="14"/>
        </w:numPr>
        <w:jc w:val="both"/>
      </w:pPr>
      <w:r>
        <w:t>This is Millie Knowlton’s last meeting as a board member and Vice Chair.</w:t>
      </w:r>
    </w:p>
    <w:p w14:paraId="08951FEF" w14:textId="177CB04C" w:rsidR="009F5CFC" w:rsidRPr="00BA6A14" w:rsidRDefault="009F5CFC" w:rsidP="000A63D1">
      <w:pPr>
        <w:pStyle w:val="ListParagraph"/>
        <w:numPr>
          <w:ilvl w:val="0"/>
          <w:numId w:val="14"/>
        </w:numPr>
        <w:jc w:val="both"/>
      </w:pPr>
      <w:r>
        <w:t xml:space="preserve">Chair Corman asked for volunteers for the position of Vice Chair.  If </w:t>
      </w:r>
      <w:r w:rsidR="00285BA3">
        <w:t>interested,</w:t>
      </w:r>
      <w:r>
        <w:t xml:space="preserve"> please send an email to Chair Corman</w:t>
      </w:r>
      <w:r w:rsidR="00285BA3">
        <w:t xml:space="preserve"> to express your interest in the position.  </w:t>
      </w:r>
    </w:p>
    <w:p w14:paraId="238E4D9E" w14:textId="06951BA0" w:rsidR="00285BA3" w:rsidRDefault="00285BA3" w:rsidP="00BA6A14">
      <w:pPr>
        <w:pStyle w:val="ListParagraph"/>
        <w:numPr>
          <w:ilvl w:val="0"/>
          <w:numId w:val="14"/>
        </w:numPr>
        <w:jc w:val="both"/>
      </w:pPr>
      <w:r>
        <w:t>Ms. Knowlton will provide the guidance</w:t>
      </w:r>
      <w:r w:rsidR="000A63D1">
        <w:t xml:space="preserve"> she drafted</w:t>
      </w:r>
      <w:r>
        <w:t xml:space="preserve"> for new member </w:t>
      </w:r>
      <w:r w:rsidR="000A63D1">
        <w:t xml:space="preserve">to the entire board for review.  </w:t>
      </w:r>
    </w:p>
    <w:p w14:paraId="235F17B8" w14:textId="62CE1693" w:rsidR="00285BA3" w:rsidRDefault="00285BA3">
      <w:pPr>
        <w:pStyle w:val="ListParagraph"/>
        <w:numPr>
          <w:ilvl w:val="0"/>
          <w:numId w:val="14"/>
        </w:numPr>
        <w:jc w:val="both"/>
      </w:pPr>
      <w:r>
        <w:t>Mr. Epley will send out a Doo</w:t>
      </w:r>
      <w:r w:rsidR="00B574F8">
        <w:t>dle</w:t>
      </w:r>
      <w:r>
        <w:t xml:space="preserve"> Poll to schedule the two new member </w:t>
      </w:r>
      <w:r w:rsidR="00B574F8">
        <w:t>sessions</w:t>
      </w:r>
      <w:r>
        <w:t xml:space="preserve"> with the DCSEU and DOEE.</w:t>
      </w:r>
    </w:p>
    <w:p w14:paraId="1744F37A" w14:textId="57AE4606" w:rsidR="005661B0" w:rsidRDefault="005661B0" w:rsidP="005661B0">
      <w:pPr>
        <w:pStyle w:val="ListParagraph"/>
        <w:numPr>
          <w:ilvl w:val="0"/>
          <w:numId w:val="14"/>
        </w:numPr>
        <w:jc w:val="both"/>
      </w:pPr>
      <w:r>
        <w:t>DOEE, the Board, and the DCSEU recognized LaKeisha Lockwood for her years of service and dedication to the SEUAB.</w:t>
      </w:r>
    </w:p>
    <w:p w14:paraId="732FC937" w14:textId="24A8B3E4" w:rsidR="005661B0" w:rsidRDefault="005661B0" w:rsidP="005661B0">
      <w:pPr>
        <w:pStyle w:val="ListParagraph"/>
        <w:numPr>
          <w:ilvl w:val="1"/>
          <w:numId w:val="14"/>
        </w:numPr>
        <w:jc w:val="both"/>
      </w:pPr>
      <w:r>
        <w:t>Nina Dodge made a motion to recognize Ms. Lockwood for her years of excellent service.  Chair Corman seconded.  All Board members were in favor.</w:t>
      </w:r>
    </w:p>
    <w:p w14:paraId="7B0C7811" w14:textId="77C66037" w:rsidR="00285BA3" w:rsidRPr="00BA6A14" w:rsidRDefault="00285BA3" w:rsidP="00BA6A14">
      <w:pPr>
        <w:ind w:firstLine="60"/>
        <w:jc w:val="both"/>
      </w:pPr>
    </w:p>
    <w:p w14:paraId="6FC6FCAF" w14:textId="1CD3DE9A" w:rsidR="00FC55DF" w:rsidRDefault="00782203">
      <w:pPr>
        <w:jc w:val="both"/>
        <w:rPr>
          <w:b/>
          <w:bCs/>
        </w:rPr>
      </w:pPr>
      <w:r>
        <w:rPr>
          <w:b/>
          <w:bCs/>
        </w:rPr>
        <w:t>Finalizing Plan/Structure for Annual Board Report</w:t>
      </w:r>
      <w:r w:rsidR="0082520D">
        <w:rPr>
          <w:b/>
          <w:bCs/>
        </w:rPr>
        <w:t xml:space="preserve"> </w:t>
      </w:r>
    </w:p>
    <w:p w14:paraId="6C8EE1E7" w14:textId="407D4B89" w:rsidR="00782203" w:rsidRDefault="00782203">
      <w:pPr>
        <w:jc w:val="both"/>
        <w:rPr>
          <w:b/>
          <w:bCs/>
        </w:rPr>
      </w:pPr>
    </w:p>
    <w:p w14:paraId="21C7A0E9" w14:textId="53E5ACC1" w:rsidR="00782203" w:rsidRDefault="00782203" w:rsidP="00BA6A14">
      <w:pPr>
        <w:pStyle w:val="ListParagraph"/>
        <w:numPr>
          <w:ilvl w:val="0"/>
          <w:numId w:val="13"/>
        </w:numPr>
        <w:jc w:val="both"/>
      </w:pPr>
      <w:r>
        <w:t xml:space="preserve">Mr. Duer-Balkind suggested that the board report be split into three sections, the </w:t>
      </w:r>
      <w:r w:rsidRPr="00BA6A14">
        <w:t>Executive Summary</w:t>
      </w:r>
      <w:r>
        <w:t>, Part 1 discussing the Board Activity and Part 2 summari</w:t>
      </w:r>
      <w:r w:rsidR="008D1807">
        <w:t>zing the Independent Evaluator’s report.</w:t>
      </w:r>
    </w:p>
    <w:p w14:paraId="448EB4D9" w14:textId="5E9B5F8D" w:rsidR="008D1807" w:rsidRDefault="00782203" w:rsidP="00BA6A14">
      <w:pPr>
        <w:pStyle w:val="ListParagraph"/>
        <w:numPr>
          <w:ilvl w:val="0"/>
          <w:numId w:val="13"/>
        </w:numPr>
        <w:jc w:val="both"/>
      </w:pPr>
      <w:r>
        <w:t xml:space="preserve">Chair Corman suggested that the report be submitted in </w:t>
      </w:r>
      <w:r w:rsidR="008D1807">
        <w:t xml:space="preserve">the October immediately following the end of the fiscal year. </w:t>
      </w:r>
    </w:p>
    <w:p w14:paraId="206CDCCB" w14:textId="47BC5B3A" w:rsidR="008D1807" w:rsidRDefault="008D1807" w:rsidP="00BA6A14">
      <w:pPr>
        <w:pStyle w:val="ListParagraph"/>
        <w:numPr>
          <w:ilvl w:val="0"/>
          <w:numId w:val="13"/>
        </w:numPr>
        <w:jc w:val="both"/>
      </w:pPr>
      <w:r>
        <w:t>Dr. Loncke suggested starting the board report after receiving the DCSEU Annual report as there isn’t much deviation</w:t>
      </w:r>
      <w:r w:rsidR="0082520D">
        <w:t xml:space="preserve"> (2%-3%)</w:t>
      </w:r>
      <w:r>
        <w:t xml:space="preserve"> from the DCSEU Annual Report.  </w:t>
      </w:r>
      <w:r w:rsidR="0082520D">
        <w:t xml:space="preserve">The DCSEU Annual Report is received 45 days after the end of the fiscal year. </w:t>
      </w:r>
      <w:r>
        <w:t>Then adding the NMR report as an addendum to the Board Report.</w:t>
      </w:r>
    </w:p>
    <w:p w14:paraId="00980C69" w14:textId="2947D0A5" w:rsidR="0082520D" w:rsidRPr="00BA6A14" w:rsidRDefault="0082520D" w:rsidP="00F74BCC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Chair Corman suggested using a consultant to compile the report as it was effective when used previously.  Mr. Loncke reminded the Board that there is only $9,500 available and the cost </w:t>
      </w:r>
      <w:r w:rsidR="00F74BCC">
        <w:t>exceeded</w:t>
      </w:r>
      <w:r>
        <w:t xml:space="preserve"> that previously</w:t>
      </w:r>
      <w:r w:rsidR="00F74BCC">
        <w:t>.</w:t>
      </w:r>
    </w:p>
    <w:p w14:paraId="641B35FB" w14:textId="77777777" w:rsidR="00FC55DF" w:rsidRDefault="00FC55DF">
      <w:pPr>
        <w:jc w:val="both"/>
        <w:rPr>
          <w:b/>
          <w:bCs/>
        </w:rPr>
      </w:pPr>
    </w:p>
    <w:p w14:paraId="5507ECF9" w14:textId="21ACFDF1" w:rsidR="00FC55DF" w:rsidRDefault="0082520D">
      <w:pPr>
        <w:jc w:val="both"/>
        <w:rPr>
          <w:b/>
          <w:bCs/>
        </w:rPr>
      </w:pPr>
      <w:r>
        <w:rPr>
          <w:b/>
          <w:bCs/>
        </w:rPr>
        <w:t>Impact of New Federal &amp; Local Lighting Requirements – Ted Trabue (DCSEU) &amp; Patti Boyd (DCSEU)</w:t>
      </w:r>
    </w:p>
    <w:p w14:paraId="74170243" w14:textId="0C614F80" w:rsidR="0082520D" w:rsidRDefault="0082520D" w:rsidP="0082520D">
      <w:pPr>
        <w:pStyle w:val="ListParagraph"/>
        <w:numPr>
          <w:ilvl w:val="0"/>
          <w:numId w:val="17"/>
        </w:numPr>
        <w:jc w:val="both"/>
      </w:pPr>
      <w:r w:rsidRPr="00BA6A14">
        <w:t xml:space="preserve">Please see </w:t>
      </w:r>
      <w:r>
        <w:t>presentation located on Google Drive for more specifics</w:t>
      </w:r>
    </w:p>
    <w:p w14:paraId="7DC922C6" w14:textId="060382FA" w:rsidR="0082520D" w:rsidRDefault="00ED0507" w:rsidP="00ED0507">
      <w:pPr>
        <w:pStyle w:val="ListParagraph"/>
        <w:numPr>
          <w:ilvl w:val="0"/>
          <w:numId w:val="17"/>
        </w:numPr>
        <w:jc w:val="both"/>
      </w:pPr>
      <w:r>
        <w:t>Ms. Boyd stated that the change in lighting standards will significantly reduce the electricity savings that can be claimed by the DCSEU.</w:t>
      </w:r>
    </w:p>
    <w:p w14:paraId="4FC45D41" w14:textId="701BE96B" w:rsidR="00ED0507" w:rsidRDefault="00F74BCC" w:rsidP="00ED0507">
      <w:pPr>
        <w:pStyle w:val="ListParagraph"/>
        <w:numPr>
          <w:ilvl w:val="0"/>
          <w:numId w:val="17"/>
        </w:numPr>
        <w:jc w:val="both"/>
      </w:pPr>
      <w:r>
        <w:t>The c</w:t>
      </w:r>
      <w:r w:rsidR="00ED0507">
        <w:t>ommercial lighting baseline ha</w:t>
      </w:r>
      <w:r>
        <w:t>s</w:t>
      </w:r>
      <w:r w:rsidR="00ED0507">
        <w:t xml:space="preserve"> change</w:t>
      </w:r>
      <w:r>
        <w:t>d</w:t>
      </w:r>
      <w:r w:rsidR="00ED0507">
        <w:t xml:space="preserve"> because the building code requirements are stronger.</w:t>
      </w:r>
    </w:p>
    <w:p w14:paraId="332C44EE" w14:textId="5592BA7C" w:rsidR="00ED0507" w:rsidRDefault="00ED0507" w:rsidP="00ED0507">
      <w:pPr>
        <w:pStyle w:val="ListParagraph"/>
        <w:numPr>
          <w:ilvl w:val="0"/>
          <w:numId w:val="17"/>
        </w:numPr>
        <w:jc w:val="both"/>
      </w:pPr>
      <w:r>
        <w:t>Pay for performance is one way to mitigate the effects of the lighting changes.</w:t>
      </w:r>
    </w:p>
    <w:p w14:paraId="79090C46" w14:textId="7E031DFF" w:rsidR="00ED0507" w:rsidRDefault="00ED0507" w:rsidP="00ED0507">
      <w:pPr>
        <w:pStyle w:val="ListParagraph"/>
        <w:numPr>
          <w:ilvl w:val="0"/>
          <w:numId w:val="17"/>
        </w:numPr>
        <w:jc w:val="both"/>
      </w:pPr>
      <w:r>
        <w:t>This is one of the areas where the advisory board can help with barriers.</w:t>
      </w:r>
    </w:p>
    <w:p w14:paraId="10C8D507" w14:textId="3D632D1E" w:rsidR="000A63D1" w:rsidRPr="00ED0507" w:rsidRDefault="00ED0507" w:rsidP="000A63D1">
      <w:pPr>
        <w:pStyle w:val="ListParagraph"/>
        <w:numPr>
          <w:ilvl w:val="0"/>
          <w:numId w:val="17"/>
        </w:numPr>
        <w:jc w:val="both"/>
      </w:pPr>
      <w:r>
        <w:t xml:space="preserve">Chair Corman asked that the DCSEU give a </w:t>
      </w:r>
      <w:r w:rsidR="00B8786F">
        <w:t xml:space="preserve">refresher on pay for performance.  </w:t>
      </w:r>
      <w:r w:rsidR="000A63D1">
        <w:t>Mr. Trabue suggested that it be discussed at a future meeting and acknowledged that it would also crossover into the Strategic Plan discussion for next month’s meeting.</w:t>
      </w:r>
    </w:p>
    <w:p w14:paraId="07664B84" w14:textId="20049C02" w:rsidR="00FC55DF" w:rsidRDefault="00FC55DF">
      <w:pPr>
        <w:jc w:val="both"/>
        <w:rPr>
          <w:b/>
          <w:bCs/>
        </w:rPr>
      </w:pPr>
    </w:p>
    <w:p w14:paraId="6BE1CDB1" w14:textId="3F2BC6BE" w:rsidR="0082520D" w:rsidRDefault="0082520D">
      <w:pPr>
        <w:jc w:val="both"/>
        <w:rPr>
          <w:b/>
          <w:bCs/>
        </w:rPr>
      </w:pPr>
      <w:r>
        <w:rPr>
          <w:b/>
          <w:bCs/>
        </w:rPr>
        <w:t>Future Agenda Items</w:t>
      </w:r>
    </w:p>
    <w:p w14:paraId="342BF3B7" w14:textId="77777777" w:rsidR="00F74BCC" w:rsidRDefault="00F74BCC" w:rsidP="0082520D">
      <w:pPr>
        <w:pStyle w:val="ListParagraph"/>
        <w:numPr>
          <w:ilvl w:val="0"/>
          <w:numId w:val="12"/>
        </w:numPr>
        <w:jc w:val="both"/>
      </w:pPr>
      <w:r>
        <w:t>April</w:t>
      </w:r>
    </w:p>
    <w:p w14:paraId="39C305B8" w14:textId="040E5051" w:rsidR="0082520D" w:rsidRDefault="0082520D" w:rsidP="00F74BCC">
      <w:pPr>
        <w:pStyle w:val="ListParagraph"/>
        <w:numPr>
          <w:ilvl w:val="1"/>
          <w:numId w:val="12"/>
        </w:numPr>
        <w:jc w:val="both"/>
      </w:pPr>
      <w:r w:rsidRPr="00BA6A14">
        <w:t xml:space="preserve">Discussion of </w:t>
      </w:r>
      <w:r>
        <w:t>DCSEU Strategic Plan with comments</w:t>
      </w:r>
      <w:r w:rsidR="00B8786F">
        <w:t xml:space="preserve"> (entire April meeting)</w:t>
      </w:r>
    </w:p>
    <w:p w14:paraId="550AFC19" w14:textId="77777777" w:rsidR="000A63D1" w:rsidRPr="00286344" w:rsidRDefault="000A63D1" w:rsidP="00F74BCC">
      <w:pPr>
        <w:pStyle w:val="ListParagraph"/>
        <w:numPr>
          <w:ilvl w:val="1"/>
          <w:numId w:val="12"/>
        </w:numPr>
        <w:ind w:right="18"/>
        <w:jc w:val="both"/>
        <w:rPr>
          <w:bCs/>
        </w:rPr>
      </w:pPr>
      <w:r>
        <w:rPr>
          <w:bCs/>
        </w:rPr>
        <w:t>DCSEU Needs from the board (April Meeting)</w:t>
      </w:r>
    </w:p>
    <w:p w14:paraId="658E1B11" w14:textId="77777777" w:rsidR="00F74BCC" w:rsidRDefault="00F74BCC" w:rsidP="0082520D">
      <w:pPr>
        <w:pStyle w:val="ListParagraph"/>
        <w:numPr>
          <w:ilvl w:val="0"/>
          <w:numId w:val="12"/>
        </w:numPr>
        <w:jc w:val="both"/>
      </w:pPr>
      <w:r>
        <w:t xml:space="preserve">May </w:t>
      </w:r>
    </w:p>
    <w:p w14:paraId="0D7433E7" w14:textId="049F124F" w:rsidR="0082520D" w:rsidRDefault="00B8786F" w:rsidP="00F74BCC">
      <w:pPr>
        <w:pStyle w:val="ListParagraph"/>
        <w:numPr>
          <w:ilvl w:val="1"/>
          <w:numId w:val="12"/>
        </w:numPr>
        <w:jc w:val="both"/>
      </w:pPr>
      <w:r>
        <w:t>Discussion of pay for performance (May Meeting)</w:t>
      </w:r>
    </w:p>
    <w:p w14:paraId="71F9ACFF" w14:textId="50A08045" w:rsidR="00B8786F" w:rsidRDefault="00B8786F" w:rsidP="00F74BCC">
      <w:pPr>
        <w:pStyle w:val="ListParagraph"/>
        <w:numPr>
          <w:ilvl w:val="1"/>
          <w:numId w:val="12"/>
        </w:numPr>
        <w:ind w:right="18"/>
        <w:jc w:val="both"/>
        <w:rPr>
          <w:bCs/>
        </w:rPr>
      </w:pPr>
      <w:r w:rsidRPr="00286344">
        <w:rPr>
          <w:bCs/>
        </w:rPr>
        <w:t xml:space="preserve">Fuel Switching Tracking Requirement </w:t>
      </w:r>
      <w:r>
        <w:rPr>
          <w:bCs/>
        </w:rPr>
        <w:t>(May Meeting)</w:t>
      </w:r>
      <w:r w:rsidRPr="00286344">
        <w:rPr>
          <w:bCs/>
        </w:rPr>
        <w:t>.  OPC will circulate their stance on the issue prior to the meeting</w:t>
      </w:r>
    </w:p>
    <w:p w14:paraId="3865AD9C" w14:textId="29789DFD" w:rsidR="00F74BCC" w:rsidRDefault="00F74BCC" w:rsidP="00B8786F">
      <w:pPr>
        <w:pStyle w:val="ListParagraph"/>
        <w:numPr>
          <w:ilvl w:val="0"/>
          <w:numId w:val="12"/>
        </w:numPr>
        <w:ind w:right="18"/>
        <w:jc w:val="both"/>
        <w:rPr>
          <w:bCs/>
        </w:rPr>
      </w:pPr>
      <w:r>
        <w:rPr>
          <w:bCs/>
        </w:rPr>
        <w:t>Running list of other items to be scheduled for discussion</w:t>
      </w:r>
    </w:p>
    <w:p w14:paraId="6669B784" w14:textId="1E3DAACF" w:rsidR="00B8786F" w:rsidRPr="0082520D" w:rsidRDefault="00F74BCC" w:rsidP="00BA6A14">
      <w:pPr>
        <w:pStyle w:val="ListParagraph"/>
        <w:numPr>
          <w:ilvl w:val="1"/>
          <w:numId w:val="12"/>
        </w:numPr>
        <w:jc w:val="both"/>
      </w:pPr>
      <w:r>
        <w:t>DCSEU Societal Cost Test</w:t>
      </w:r>
    </w:p>
    <w:p w14:paraId="6A4C144E" w14:textId="77777777" w:rsidR="0082520D" w:rsidRPr="00BA6A14" w:rsidRDefault="0082520D">
      <w:pPr>
        <w:jc w:val="both"/>
        <w:rPr>
          <w:b/>
          <w:bCs/>
        </w:rPr>
      </w:pPr>
    </w:p>
    <w:p w14:paraId="61BAB0A3" w14:textId="77777777" w:rsidR="00AD72A6" w:rsidRDefault="00C269B6">
      <w:pPr>
        <w:rPr>
          <w:b/>
        </w:rPr>
      </w:pPr>
      <w:bookmarkStart w:id="4" w:name="_heading=h.1fob9te" w:colFirst="0" w:colLast="0"/>
      <w:bookmarkEnd w:id="4"/>
      <w:r>
        <w:rPr>
          <w:b/>
        </w:rPr>
        <w:t>Actions taken by the Board</w:t>
      </w:r>
    </w:p>
    <w:p w14:paraId="5217460A" w14:textId="78257904" w:rsidR="00AD72A6" w:rsidRDefault="00C269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</w:t>
      </w:r>
      <w:r w:rsidR="00F74BCC">
        <w:rPr>
          <w:color w:val="000000"/>
        </w:rPr>
        <w:t>March A</w:t>
      </w:r>
      <w:r>
        <w:rPr>
          <w:color w:val="000000"/>
        </w:rPr>
        <w:t>genda</w:t>
      </w:r>
    </w:p>
    <w:p w14:paraId="61E6CBE4" w14:textId="577AD40F" w:rsidR="00AD72A6" w:rsidRDefault="00C269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</w:t>
      </w:r>
      <w:r w:rsidR="00B8786F">
        <w:rPr>
          <w:color w:val="000000"/>
        </w:rPr>
        <w:t>February</w:t>
      </w:r>
      <w:r>
        <w:rPr>
          <w:color w:val="000000"/>
        </w:rPr>
        <w:t xml:space="preserve"> meeting minutes</w:t>
      </w:r>
    </w:p>
    <w:p w14:paraId="6E28D6FF" w14:textId="4D98B184" w:rsidR="00AD72A6" w:rsidRPr="005661B0" w:rsidRDefault="00C269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Review and scheduling of discussions for future meetings </w:t>
      </w:r>
    </w:p>
    <w:p w14:paraId="2FCCE76E" w14:textId="234DA8A8" w:rsidR="00AD72A6" w:rsidRPr="005661B0" w:rsidRDefault="009D0C3C" w:rsidP="00B37D5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t>The Board recognized</w:t>
      </w:r>
      <w:r w:rsidR="005661B0">
        <w:t xml:space="preserve"> LaKeisha Lockwood for her years of excellent service</w:t>
      </w:r>
      <w:r>
        <w:t xml:space="preserve"> to the Board, DCSEU and DOEE.</w:t>
      </w:r>
    </w:p>
    <w:p w14:paraId="64F2B1B7" w14:textId="77777777" w:rsidR="005661B0" w:rsidRDefault="005661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62D724ED" w14:textId="77777777" w:rsidR="00AD72A6" w:rsidRDefault="00C269B6">
      <w:pPr>
        <w:rPr>
          <w:b/>
        </w:rPr>
      </w:pPr>
      <w:r>
        <w:rPr>
          <w:b/>
        </w:rPr>
        <w:t>Adjournment</w:t>
      </w:r>
    </w:p>
    <w:p w14:paraId="72B07A40" w14:textId="77777777" w:rsidR="00AD72A6" w:rsidRDefault="00C269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Chair Corman adjourned the meeting at 12:02 PM.</w:t>
      </w:r>
    </w:p>
    <w:p w14:paraId="774EE780" w14:textId="77777777" w:rsidR="00AD72A6" w:rsidRDefault="00AD72A6">
      <w:pPr>
        <w:rPr>
          <w:i/>
        </w:rPr>
      </w:pPr>
    </w:p>
    <w:p w14:paraId="29141C40" w14:textId="77777777" w:rsidR="00AD72A6" w:rsidRDefault="00C269B6">
      <w:pPr>
        <w:rPr>
          <w:i/>
        </w:rPr>
      </w:pPr>
      <w:r>
        <w:rPr>
          <w:i/>
        </w:rPr>
        <w:t>Minutes prepared by LaKeisha Lockwood, DOEE</w:t>
      </w:r>
    </w:p>
    <w:p w14:paraId="038C9BBF" w14:textId="77777777" w:rsidR="00AD72A6" w:rsidRDefault="00AD72A6"/>
    <w:p w14:paraId="443F8F5B" w14:textId="77777777" w:rsidR="00AD72A6" w:rsidRDefault="00AD72A6"/>
    <w:sectPr w:rsidR="00AD72A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152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9CA8" w14:textId="77777777" w:rsidR="004D4A83" w:rsidRDefault="004D4A83">
      <w:r>
        <w:separator/>
      </w:r>
    </w:p>
  </w:endnote>
  <w:endnote w:type="continuationSeparator" w:id="0">
    <w:p w14:paraId="0BEA00BD" w14:textId="77777777" w:rsidR="004D4A83" w:rsidRDefault="004D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F584" w14:textId="77777777" w:rsidR="00AD72A6" w:rsidRDefault="00C269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Page </w: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instrText>PAGE</w:instrTex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fldChar w:fldCharType="separate"/>
    </w:r>
    <w:r w:rsidR="009522AA"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w:t>3</w: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of </w: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instrText>NUMPAGES</w:instrTex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fldChar w:fldCharType="separate"/>
    </w:r>
    <w:r w:rsidR="009522AA"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w:t>3</w: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fldChar w:fldCharType="end"/>
    </w:r>
  </w:p>
  <w:p w14:paraId="1769A32B" w14:textId="77777777" w:rsidR="00AD72A6" w:rsidRDefault="00AD72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0D79" w14:textId="77777777" w:rsidR="00AD72A6" w:rsidRDefault="00C269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-4680"/>
      </w:tabs>
      <w:jc w:val="center"/>
      <w:rPr>
        <w:rFonts w:ascii="Century Gothic" w:eastAsia="Century Gothic" w:hAnsi="Century Gothic" w:cs="Century Gothic"/>
        <w:color w:val="000000"/>
        <w:sz w:val="19"/>
        <w:szCs w:val="19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                             </w:t>
    </w:r>
    <w:r>
      <w:rPr>
        <w:rFonts w:ascii="Century Gothic" w:eastAsia="Century Gothic" w:hAnsi="Century Gothic" w:cs="Century Gothic"/>
        <w:color w:val="000000"/>
        <w:sz w:val="19"/>
        <w:szCs w:val="19"/>
      </w:rPr>
      <w:t xml:space="preserve">1200 First Street NE, 5th Floor, Washington, DC 20002 | (202) 535-2600 | doee.dc.gov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9F582C" wp14:editId="46067E34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6803517" cy="338709"/>
              <wp:effectExtent l="0" t="0" r="0" b="0"/>
              <wp:wrapSquare wrapText="bothSides" distT="0" distB="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49004" y="3615408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CAE20B" w14:textId="77777777" w:rsidR="00AD72A6" w:rsidRDefault="00AD72A6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6803517" cy="338709"/>
              <wp:effectExtent b="0" l="0" r="0" t="0"/>
              <wp:wrapSquare wrapText="bothSides" distB="0" distT="0" distL="114300" distR="114300"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3517" cy="3387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2247227" wp14:editId="4B3BECCD">
              <wp:simplePos x="0" y="0"/>
              <wp:positionH relativeFrom="column">
                <wp:posOffset>1206500</wp:posOffset>
              </wp:positionH>
              <wp:positionV relativeFrom="paragraph">
                <wp:posOffset>-139699</wp:posOffset>
              </wp:positionV>
              <wp:extent cx="4928870" cy="19050"/>
              <wp:effectExtent l="0" t="0" r="0" b="0"/>
              <wp:wrapTopAndBottom distT="0" distB="0"/>
              <wp:docPr id="16" name="Straight Arrow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81565" y="3780000"/>
                        <a:ext cx="492887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-139699</wp:posOffset>
              </wp:positionV>
              <wp:extent cx="4928870" cy="19050"/>
              <wp:effectExtent b="0" l="0" r="0" t="0"/>
              <wp:wrapTopAndBottom distB="0" distT="0"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887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4F85BE0" wp14:editId="56E98454">
          <wp:simplePos x="0" y="0"/>
          <wp:positionH relativeFrom="column">
            <wp:posOffset>-502919</wp:posOffset>
          </wp:positionH>
          <wp:positionV relativeFrom="paragraph">
            <wp:posOffset>-228599</wp:posOffset>
          </wp:positionV>
          <wp:extent cx="1645920" cy="420624"/>
          <wp:effectExtent l="0" t="0" r="0" b="0"/>
          <wp:wrapSquare wrapText="bothSides" distT="0" distB="0" distL="114300" distR="11430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7867031" wp14:editId="5B8AF44C">
          <wp:simplePos x="0" y="0"/>
          <wp:positionH relativeFrom="column">
            <wp:posOffset>6015990</wp:posOffset>
          </wp:positionH>
          <wp:positionV relativeFrom="paragraph">
            <wp:posOffset>-411479</wp:posOffset>
          </wp:positionV>
          <wp:extent cx="521208" cy="704088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479ED9" w14:textId="77777777" w:rsidR="00AD72A6" w:rsidRDefault="00AD72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-468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7DE4" w14:textId="77777777" w:rsidR="004D4A83" w:rsidRDefault="004D4A83">
      <w:r>
        <w:separator/>
      </w:r>
    </w:p>
  </w:footnote>
  <w:footnote w:type="continuationSeparator" w:id="0">
    <w:p w14:paraId="121EF1E9" w14:textId="77777777" w:rsidR="004D4A83" w:rsidRDefault="004D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A5C2E" w14:textId="77777777" w:rsidR="00AD72A6" w:rsidRDefault="00AD72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69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A4EB7" w14:textId="77777777" w:rsidR="00AD72A6" w:rsidRDefault="00C269B6">
    <w:pPr>
      <w:tabs>
        <w:tab w:val="left" w:pos="6553"/>
      </w:tabs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GOVERNMENT OF THE DISTRICT OF COLUMBIA</w:t>
    </w:r>
    <w:r>
      <w:rPr>
        <w:rFonts w:ascii="Century Gothic" w:eastAsia="Century Gothic" w:hAnsi="Century Gothic" w:cs="Century Gothic"/>
        <w:b/>
      </w:rPr>
      <w:br/>
    </w:r>
    <w:r>
      <w:rPr>
        <w:rFonts w:ascii="Century Gothic" w:eastAsia="Century Gothic" w:hAnsi="Century Gothic" w:cs="Century Gothic"/>
      </w:rPr>
      <w:t>Department of Energy and Environment</w:t>
    </w:r>
  </w:p>
  <w:p w14:paraId="143A9295" w14:textId="77777777" w:rsidR="00AD72A6" w:rsidRDefault="00AD72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F4"/>
    <w:multiLevelType w:val="multilevel"/>
    <w:tmpl w:val="799A9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1C7C5C"/>
    <w:multiLevelType w:val="multilevel"/>
    <w:tmpl w:val="4DA2B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D38AF"/>
    <w:multiLevelType w:val="multilevel"/>
    <w:tmpl w:val="B7E45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9D4046"/>
    <w:multiLevelType w:val="hybridMultilevel"/>
    <w:tmpl w:val="116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3722"/>
    <w:multiLevelType w:val="hybridMultilevel"/>
    <w:tmpl w:val="7F9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E02"/>
    <w:multiLevelType w:val="multilevel"/>
    <w:tmpl w:val="7CE84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901A1A"/>
    <w:multiLevelType w:val="hybridMultilevel"/>
    <w:tmpl w:val="21A8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76AC"/>
    <w:multiLevelType w:val="multilevel"/>
    <w:tmpl w:val="FCAE3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FE865FD"/>
    <w:multiLevelType w:val="hybridMultilevel"/>
    <w:tmpl w:val="B5A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F58CB"/>
    <w:multiLevelType w:val="multilevel"/>
    <w:tmpl w:val="61EC3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2C16B4C"/>
    <w:multiLevelType w:val="hybridMultilevel"/>
    <w:tmpl w:val="215E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B0E4BF6"/>
    <w:multiLevelType w:val="multilevel"/>
    <w:tmpl w:val="B7CCA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46D5353"/>
    <w:multiLevelType w:val="hybridMultilevel"/>
    <w:tmpl w:val="BFC0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91E70"/>
    <w:multiLevelType w:val="multilevel"/>
    <w:tmpl w:val="F1B8B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3B5F"/>
    <w:multiLevelType w:val="hybridMultilevel"/>
    <w:tmpl w:val="FAB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6"/>
    <w:rsid w:val="00054E7F"/>
    <w:rsid w:val="00060821"/>
    <w:rsid w:val="00096411"/>
    <w:rsid w:val="000A63D1"/>
    <w:rsid w:val="00247846"/>
    <w:rsid w:val="00276490"/>
    <w:rsid w:val="00285BA3"/>
    <w:rsid w:val="0030106D"/>
    <w:rsid w:val="003261DD"/>
    <w:rsid w:val="00337672"/>
    <w:rsid w:val="00422025"/>
    <w:rsid w:val="004D4A83"/>
    <w:rsid w:val="00564536"/>
    <w:rsid w:val="005661B0"/>
    <w:rsid w:val="006C0F65"/>
    <w:rsid w:val="006E7429"/>
    <w:rsid w:val="00703674"/>
    <w:rsid w:val="00782203"/>
    <w:rsid w:val="007D595F"/>
    <w:rsid w:val="0082520D"/>
    <w:rsid w:val="00831820"/>
    <w:rsid w:val="00875E0F"/>
    <w:rsid w:val="00893ED5"/>
    <w:rsid w:val="008D1807"/>
    <w:rsid w:val="009522AA"/>
    <w:rsid w:val="009D0C3C"/>
    <w:rsid w:val="009D7D94"/>
    <w:rsid w:val="009F0156"/>
    <w:rsid w:val="009F5CFC"/>
    <w:rsid w:val="009F7FCE"/>
    <w:rsid w:val="00A87A3F"/>
    <w:rsid w:val="00AD72A6"/>
    <w:rsid w:val="00B30BDF"/>
    <w:rsid w:val="00B40289"/>
    <w:rsid w:val="00B574F8"/>
    <w:rsid w:val="00B8786F"/>
    <w:rsid w:val="00BA4B54"/>
    <w:rsid w:val="00BA6A14"/>
    <w:rsid w:val="00BF1FDA"/>
    <w:rsid w:val="00BF753F"/>
    <w:rsid w:val="00C269B6"/>
    <w:rsid w:val="00C779FD"/>
    <w:rsid w:val="00CB058C"/>
    <w:rsid w:val="00CD3CC7"/>
    <w:rsid w:val="00D4778F"/>
    <w:rsid w:val="00DF7E84"/>
    <w:rsid w:val="00E215AB"/>
    <w:rsid w:val="00E9581F"/>
    <w:rsid w:val="00EC5CFE"/>
    <w:rsid w:val="00ED0507"/>
    <w:rsid w:val="00EF1C69"/>
    <w:rsid w:val="00F06969"/>
    <w:rsid w:val="00F74BCC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15"/>
  </w:style>
  <w:style w:type="paragraph" w:styleId="Heading1">
    <w:name w:val="heading 1"/>
    <w:basedOn w:val="Normal"/>
    <w:next w:val="Normal"/>
    <w:uiPriority w:val="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uiPriority w:val="20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B21"/>
    <w:rPr>
      <w:color w:val="605E5C"/>
      <w:shd w:val="clear" w:color="auto" w:fill="E1DFDD"/>
    </w:rPr>
  </w:style>
  <w:style w:type="paragraph" w:customStyle="1" w:styleId="ui-chatitem">
    <w:name w:val="ui-chat__item"/>
    <w:basedOn w:val="Normal"/>
    <w:rsid w:val="008A5D97"/>
    <w:pPr>
      <w:spacing w:before="100" w:beforeAutospacing="1" w:after="100" w:afterAutospacing="1"/>
    </w:pPr>
  </w:style>
  <w:style w:type="character" w:customStyle="1" w:styleId="ui-text">
    <w:name w:val="ui-text"/>
    <w:basedOn w:val="DefaultParagraphFont"/>
    <w:rsid w:val="008A5D9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15"/>
  </w:style>
  <w:style w:type="paragraph" w:styleId="Heading1">
    <w:name w:val="heading 1"/>
    <w:basedOn w:val="Normal"/>
    <w:next w:val="Normal"/>
    <w:uiPriority w:val="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uiPriority w:val="20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B21"/>
    <w:rPr>
      <w:color w:val="605E5C"/>
      <w:shd w:val="clear" w:color="auto" w:fill="E1DFDD"/>
    </w:rPr>
  </w:style>
  <w:style w:type="paragraph" w:customStyle="1" w:styleId="ui-chatitem">
    <w:name w:val="ui-chat__item"/>
    <w:basedOn w:val="Normal"/>
    <w:rsid w:val="008A5D97"/>
    <w:pPr>
      <w:spacing w:before="100" w:beforeAutospacing="1" w:after="100" w:afterAutospacing="1"/>
    </w:pPr>
  </w:style>
  <w:style w:type="character" w:customStyle="1" w:styleId="ui-text">
    <w:name w:val="ui-text"/>
    <w:basedOn w:val="DefaultParagraphFont"/>
    <w:rsid w:val="008A5D9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S8BDPJ7lketS/6dN6dOsRKiMQ==">AMUW2mVjqagG191wOiwnmLxIWiM3vrFur0XARMMN/t0R2Nvh2+q9rp9HAHHvyCk7t35BfVi7jhHKeglsY2j9lnxZl1dL6mMQHfTUgNl98hnDre9azHDNpPAS5Ycf1xuoHOnwqxezCKC11wlC0l4Hcr4hVC6zfI9xgw==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2022-04-20T15:41:00Z</dcterms:created>
  <dcterms:modified xsi:type="dcterms:W3CDTF">2022-04-20T15:41:00Z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ContentTypeId">
    <vt:lpwstr>0x010100CE5929168397D549A90BC8E2C1E53955</vt:lpwstr>
  </property>
</Properties>
</file>