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42" w:rsidRDefault="00B21F42" w:rsidP="00B21F42">
      <w:pPr>
        <w:jc w:val="center"/>
        <w:rPr>
          <w:rFonts w:ascii="Century Gothic" w:hAnsi="Century Gothic" w:cs="Times New Roman"/>
          <w:b/>
          <w:color w:val="4E8745"/>
          <w:sz w:val="36"/>
          <w:szCs w:val="36"/>
        </w:rPr>
      </w:pPr>
      <w:bookmarkStart w:id="0" w:name="_GoBack"/>
      <w:bookmarkEnd w:id="0"/>
      <w:r w:rsidRPr="00C43182">
        <w:rPr>
          <w:b/>
          <w:color w:val="4E8745"/>
          <w:sz w:val="28"/>
          <w:szCs w:val="28"/>
        </w:rPr>
        <w:t>BEPS Task Force Meeting Notes</w:t>
      </w:r>
    </w:p>
    <w:p w:rsidR="00B21F42" w:rsidRPr="00C43182" w:rsidRDefault="0036030F" w:rsidP="00B21F42">
      <w:pPr>
        <w:spacing w:line="240" w:lineRule="auto"/>
        <w:contextualSpacing/>
        <w:jc w:val="center"/>
        <w:rPr>
          <w:color w:val="4E8745"/>
        </w:rPr>
      </w:pPr>
      <w:r w:rsidRPr="00B21F42">
        <w:rPr>
          <w:color w:val="4E8745"/>
        </w:rPr>
        <w:t>January 7, 2020</w:t>
      </w:r>
      <w:r w:rsidR="00B21F42" w:rsidRPr="00B21F42">
        <w:rPr>
          <w:color w:val="4E8745"/>
        </w:rPr>
        <w:t xml:space="preserve">, </w:t>
      </w:r>
      <w:r w:rsidR="00B21F42">
        <w:rPr>
          <w:color w:val="4E8745"/>
        </w:rPr>
        <w:t>2:30</w:t>
      </w:r>
      <w:r w:rsidR="00B21F42" w:rsidRPr="00C43182">
        <w:rPr>
          <w:color w:val="4E8745"/>
        </w:rPr>
        <w:t>-</w:t>
      </w:r>
      <w:r w:rsidR="00B21F42">
        <w:rPr>
          <w:color w:val="4E8745"/>
        </w:rPr>
        <w:t>4:30</w:t>
      </w:r>
      <w:r w:rsidR="00B21F42" w:rsidRPr="00C43182">
        <w:rPr>
          <w:color w:val="4E8745"/>
        </w:rPr>
        <w:t>pm</w:t>
      </w:r>
    </w:p>
    <w:p w:rsidR="00B21F42" w:rsidRPr="00C43182" w:rsidRDefault="00B21F42" w:rsidP="00B21F42">
      <w:pPr>
        <w:spacing w:line="240" w:lineRule="auto"/>
        <w:contextualSpacing/>
        <w:jc w:val="center"/>
        <w:rPr>
          <w:color w:val="4E8745"/>
        </w:rPr>
      </w:pPr>
      <w:r w:rsidRPr="00C43182">
        <w:rPr>
          <w:color w:val="4E8745"/>
        </w:rPr>
        <w:t xml:space="preserve">1200 First St NE, </w:t>
      </w:r>
      <w:proofErr w:type="gramStart"/>
      <w:r w:rsidRPr="00C43182">
        <w:rPr>
          <w:color w:val="4E8745"/>
        </w:rPr>
        <w:t>5th</w:t>
      </w:r>
      <w:proofErr w:type="gramEnd"/>
      <w:r w:rsidRPr="00C43182">
        <w:rPr>
          <w:color w:val="4E8745"/>
        </w:rPr>
        <w:t xml:space="preserve"> Floor, Washington, DC 20002</w:t>
      </w:r>
    </w:p>
    <w:p w:rsidR="0036030F" w:rsidRDefault="0036030F" w:rsidP="0036030F">
      <w:pPr>
        <w:spacing w:line="240" w:lineRule="auto"/>
        <w:contextualSpacing/>
      </w:pPr>
    </w:p>
    <w:p w:rsidR="0036030F" w:rsidRDefault="0036030F" w:rsidP="0036030F">
      <w:pPr>
        <w:spacing w:line="240" w:lineRule="auto"/>
        <w:contextualSpacing/>
      </w:pPr>
    </w:p>
    <w:p w:rsidR="0036030F" w:rsidRPr="0005295F" w:rsidRDefault="0036030F" w:rsidP="0036030F">
      <w:pPr>
        <w:spacing w:line="240" w:lineRule="auto"/>
        <w:contextualSpacing/>
        <w:rPr>
          <w:b/>
        </w:rPr>
      </w:pPr>
      <w:r w:rsidRPr="0005295F">
        <w:rPr>
          <w:b/>
        </w:rPr>
        <w:t>Administrative</w:t>
      </w:r>
    </w:p>
    <w:p w:rsidR="0036030F" w:rsidRDefault="0036030F" w:rsidP="00832320">
      <w:pPr>
        <w:pStyle w:val="ListParagraph"/>
        <w:numPr>
          <w:ilvl w:val="0"/>
          <w:numId w:val="1"/>
        </w:numPr>
        <w:spacing w:line="240" w:lineRule="auto"/>
      </w:pPr>
      <w:r>
        <w:t xml:space="preserve">Co-chairs </w:t>
      </w:r>
      <w:r w:rsidR="00832320">
        <w:t xml:space="preserve">of task force </w:t>
      </w:r>
      <w:r>
        <w:t>– Matt Praske, Marshall Duer-Balkind, Anica Landreneau</w:t>
      </w:r>
    </w:p>
    <w:p w:rsidR="00832320" w:rsidRDefault="00832320" w:rsidP="0036030F">
      <w:pPr>
        <w:pStyle w:val="ListParagraph"/>
        <w:numPr>
          <w:ilvl w:val="0"/>
          <w:numId w:val="1"/>
        </w:numPr>
        <w:spacing w:line="240" w:lineRule="auto"/>
      </w:pPr>
      <w:r>
        <w:t xml:space="preserve">Following up with </w:t>
      </w:r>
      <w:proofErr w:type="spellStart"/>
      <w:r>
        <w:t>MOTA</w:t>
      </w:r>
      <w:proofErr w:type="spellEnd"/>
      <w:r>
        <w:t xml:space="preserve"> on admin items in new year</w:t>
      </w:r>
    </w:p>
    <w:p w:rsidR="00FD6D42" w:rsidRPr="00FD6D42" w:rsidRDefault="00FD6D42" w:rsidP="00FD6D42">
      <w:pPr>
        <w:spacing w:line="240" w:lineRule="auto"/>
        <w:rPr>
          <w:b/>
        </w:rPr>
      </w:pPr>
      <w:r w:rsidRPr="00FD6D42">
        <w:rPr>
          <w:b/>
        </w:rPr>
        <w:t>Role of Task Force</w:t>
      </w:r>
    </w:p>
    <w:p w:rsidR="00FD6D42" w:rsidRDefault="00FD6D42" w:rsidP="00FD6D42">
      <w:pPr>
        <w:pStyle w:val="ListParagraph"/>
        <w:numPr>
          <w:ilvl w:val="0"/>
          <w:numId w:val="7"/>
        </w:numPr>
        <w:spacing w:line="240" w:lineRule="auto"/>
      </w:pPr>
      <w:r>
        <w:t>Advise DOEE on creation of an implementation plan for the Building Energy Performance Program; recommend amendments to proposed regulations issued by DOEE; and recommend complementary programs or policies.</w:t>
      </w:r>
    </w:p>
    <w:p w:rsidR="00FD6D42" w:rsidRDefault="00FD6D42" w:rsidP="00FD6D42">
      <w:pPr>
        <w:pStyle w:val="ListParagraph"/>
        <w:numPr>
          <w:ilvl w:val="0"/>
          <w:numId w:val="7"/>
        </w:numPr>
        <w:spacing w:line="240" w:lineRule="auto"/>
      </w:pPr>
      <w:r>
        <w:t>Suggestion: Cover individual topics in each meeting without necessarily coming to a recommendation on each item, then revisit all topics for final recommendation discussion later on (so many topics interweave, it’s difficult to make decisions early on.)</w:t>
      </w:r>
    </w:p>
    <w:p w:rsidR="00832320" w:rsidRPr="0005295F" w:rsidRDefault="00832320" w:rsidP="0036030F">
      <w:pPr>
        <w:spacing w:line="240" w:lineRule="auto"/>
        <w:contextualSpacing/>
        <w:rPr>
          <w:b/>
        </w:rPr>
      </w:pPr>
      <w:r w:rsidRPr="0005295F">
        <w:rPr>
          <w:b/>
        </w:rPr>
        <w:t>Property Types</w:t>
      </w:r>
    </w:p>
    <w:p w:rsidR="0026309F" w:rsidRDefault="0026309F" w:rsidP="00832320">
      <w:pPr>
        <w:pStyle w:val="ListParagraph"/>
        <w:numPr>
          <w:ilvl w:val="0"/>
          <w:numId w:val="2"/>
        </w:numPr>
        <w:spacing w:line="240" w:lineRule="auto"/>
      </w:pPr>
      <w:r>
        <w:t>Reviewed working group scenarios and feedback from July 16 session</w:t>
      </w:r>
    </w:p>
    <w:p w:rsidR="00FD6D42" w:rsidRDefault="00FD6D42" w:rsidP="00832320">
      <w:pPr>
        <w:pStyle w:val="ListParagraph"/>
        <w:numPr>
          <w:ilvl w:val="0"/>
          <w:numId w:val="2"/>
        </w:numPr>
        <w:spacing w:line="240" w:lineRule="auto"/>
      </w:pPr>
      <w:r>
        <w:t xml:space="preserve">Analysis based on all data available (90% compliance, not just the 80% accepted submission). Used 2018 benchmarking data with updated 2019 Energy Star modeling. </w:t>
      </w:r>
    </w:p>
    <w:p w:rsidR="00832320" w:rsidRDefault="0026309F" w:rsidP="00832320">
      <w:pPr>
        <w:pStyle w:val="ListParagraph"/>
        <w:numPr>
          <w:ilvl w:val="0"/>
          <w:numId w:val="2"/>
        </w:numPr>
        <w:spacing w:line="240" w:lineRule="auto"/>
      </w:pPr>
      <w:r>
        <w:t>Methodology for establishing type definition</w:t>
      </w:r>
    </w:p>
    <w:p w:rsidR="0026309F" w:rsidRDefault="00F24B83" w:rsidP="0026309F">
      <w:pPr>
        <w:pStyle w:val="ListParagraph"/>
        <w:numPr>
          <w:ilvl w:val="1"/>
          <w:numId w:val="2"/>
        </w:numPr>
        <w:spacing w:line="240" w:lineRule="auto"/>
      </w:pPr>
      <w:r>
        <w:t xml:space="preserve">Level 1 - </w:t>
      </w:r>
      <w:r w:rsidR="0026309F">
        <w:t>Primary Property types</w:t>
      </w:r>
    </w:p>
    <w:p w:rsidR="0026309F" w:rsidRDefault="0026309F" w:rsidP="0026309F">
      <w:pPr>
        <w:pStyle w:val="ListParagraph"/>
        <w:numPr>
          <w:ilvl w:val="2"/>
          <w:numId w:val="2"/>
        </w:numPr>
        <w:spacing w:line="240" w:lineRule="auto"/>
      </w:pPr>
      <w:r>
        <w:t>Question about energy star score and ability to get certified. Certification is due to EPAs confidence in underlying model. Correlation between buildings is not impacted, would not affect the usage of the score/metric for BEPS purposes.</w:t>
      </w:r>
    </w:p>
    <w:p w:rsidR="0026309F" w:rsidRDefault="00F24B83" w:rsidP="0026309F">
      <w:pPr>
        <w:pStyle w:val="ListParagraph"/>
        <w:numPr>
          <w:ilvl w:val="1"/>
          <w:numId w:val="2"/>
        </w:numPr>
        <w:spacing w:line="240" w:lineRule="auto"/>
      </w:pPr>
      <w:r>
        <w:t xml:space="preserve">Level 2 - </w:t>
      </w:r>
      <w:r w:rsidR="0026309F">
        <w:t>Same ESPM Scoring model type</w:t>
      </w:r>
    </w:p>
    <w:p w:rsidR="00D81B13" w:rsidRDefault="00D81B13" w:rsidP="00D81B13">
      <w:pPr>
        <w:pStyle w:val="ListParagraph"/>
        <w:numPr>
          <w:ilvl w:val="2"/>
          <w:numId w:val="2"/>
        </w:numPr>
        <w:spacing w:line="240" w:lineRule="auto"/>
      </w:pPr>
    </w:p>
    <w:p w:rsidR="0026309F" w:rsidRDefault="00F24B83" w:rsidP="0026309F">
      <w:pPr>
        <w:pStyle w:val="ListParagraph"/>
        <w:numPr>
          <w:ilvl w:val="1"/>
          <w:numId w:val="2"/>
        </w:numPr>
        <w:spacing w:line="240" w:lineRule="auto"/>
      </w:pPr>
      <w:r>
        <w:t xml:space="preserve">Level 3 - </w:t>
      </w:r>
      <w:r w:rsidR="0026309F">
        <w:t xml:space="preserve">National median </w:t>
      </w:r>
      <w:r w:rsidR="00D81B13">
        <w:t>reference type</w:t>
      </w:r>
    </w:p>
    <w:p w:rsidR="00D81B13" w:rsidRDefault="00D81B13" w:rsidP="00D81B13">
      <w:pPr>
        <w:pStyle w:val="ListParagraph"/>
        <w:numPr>
          <w:ilvl w:val="2"/>
          <w:numId w:val="2"/>
        </w:numPr>
        <w:spacing w:line="240" w:lineRule="auto"/>
      </w:pPr>
      <w:r>
        <w:t>Possible final step in grouping types</w:t>
      </w:r>
      <w:r w:rsidR="00FD6D42">
        <w:t>?</w:t>
      </w:r>
    </w:p>
    <w:p w:rsidR="00F24B83" w:rsidRDefault="00FD6D42" w:rsidP="00D81B13">
      <w:pPr>
        <w:pStyle w:val="ListParagraph"/>
        <w:numPr>
          <w:ilvl w:val="2"/>
          <w:numId w:val="2"/>
        </w:numPr>
        <w:spacing w:line="240" w:lineRule="auto"/>
      </w:pPr>
      <w:r>
        <w:t>Possible to</w:t>
      </w:r>
      <w:r w:rsidR="00F24B83">
        <w:t xml:space="preserve"> set a higher bar</w:t>
      </w:r>
      <w:r>
        <w:t xml:space="preserve"> in DC</w:t>
      </w:r>
      <w:r w:rsidR="00F24B83">
        <w:t xml:space="preserve"> if </w:t>
      </w:r>
      <w:r>
        <w:t>the group has to compare to national median (half</w:t>
      </w:r>
      <w:r w:rsidR="00F24B83">
        <w:t>way between 50 and 75</w:t>
      </w:r>
      <w:r>
        <w:t>?</w:t>
      </w:r>
      <w:r w:rsidR="00F24B83">
        <w:t>)</w:t>
      </w:r>
    </w:p>
    <w:p w:rsidR="0026309F" w:rsidRDefault="00F24B83" w:rsidP="0026309F">
      <w:pPr>
        <w:pStyle w:val="ListParagraph"/>
        <w:numPr>
          <w:ilvl w:val="1"/>
          <w:numId w:val="2"/>
        </w:numPr>
        <w:spacing w:line="240" w:lineRule="auto"/>
      </w:pPr>
      <w:r>
        <w:t xml:space="preserve">Level 4 - </w:t>
      </w:r>
      <w:r w:rsidR="0026309F">
        <w:t>Custom groupings</w:t>
      </w:r>
      <w:r w:rsidR="00D81B13">
        <w:t xml:space="preserve"> (types under 10)</w:t>
      </w:r>
    </w:p>
    <w:p w:rsidR="00F24B83" w:rsidRDefault="00D81B13" w:rsidP="00F24B83">
      <w:pPr>
        <w:pStyle w:val="ListParagraph"/>
        <w:numPr>
          <w:ilvl w:val="2"/>
          <w:numId w:val="2"/>
        </w:numPr>
        <w:spacing w:line="240" w:lineRule="auto"/>
      </w:pPr>
      <w:r>
        <w:t>Statistically significant normal distribution for 4 final groupings</w:t>
      </w:r>
    </w:p>
    <w:p w:rsidR="00FD6D42" w:rsidRDefault="00305C3D" w:rsidP="00FD6D42">
      <w:pPr>
        <w:pStyle w:val="ListParagraph"/>
        <w:numPr>
          <w:ilvl w:val="2"/>
          <w:numId w:val="2"/>
        </w:numPr>
        <w:spacing w:line="240" w:lineRule="auto"/>
      </w:pPr>
      <w:r>
        <w:t>Possibly look at COSTAR data for further analysis</w:t>
      </w:r>
      <w:r w:rsidR="00FD6D42" w:rsidRPr="00FD6D42">
        <w:t xml:space="preserve"> </w:t>
      </w:r>
    </w:p>
    <w:p w:rsidR="00FD6D42" w:rsidRDefault="00FD6D42" w:rsidP="00FD6D42">
      <w:pPr>
        <w:pStyle w:val="ListParagraph"/>
        <w:numPr>
          <w:ilvl w:val="2"/>
          <w:numId w:val="2"/>
        </w:numPr>
        <w:spacing w:line="240" w:lineRule="auto"/>
      </w:pPr>
      <w:r>
        <w:t>Not sure about Level 4 groupings of buildings and ability to enforce issues</w:t>
      </w:r>
    </w:p>
    <w:p w:rsidR="00305C3D" w:rsidRDefault="00FD6D42" w:rsidP="00F24B83">
      <w:pPr>
        <w:pStyle w:val="ListParagraph"/>
        <w:numPr>
          <w:ilvl w:val="2"/>
          <w:numId w:val="2"/>
        </w:numPr>
        <w:spacing w:line="240" w:lineRule="auto"/>
      </w:pPr>
      <w:r>
        <w:t>This level represents the 5% outliers – we should tackle smaller building groups in a couple of months after other topics are discussed</w:t>
      </w:r>
    </w:p>
    <w:p w:rsidR="00D81B13" w:rsidRDefault="00FD6D42" w:rsidP="00FD6D42">
      <w:pPr>
        <w:pStyle w:val="ListParagraph"/>
        <w:numPr>
          <w:ilvl w:val="1"/>
          <w:numId w:val="2"/>
        </w:numPr>
        <w:spacing w:line="240" w:lineRule="auto"/>
      </w:pPr>
      <w:r>
        <w:t>Miscellaneous</w:t>
      </w:r>
    </w:p>
    <w:p w:rsidR="00F24B83" w:rsidRDefault="00FD6D42" w:rsidP="00FD6D42">
      <w:pPr>
        <w:pStyle w:val="ListParagraph"/>
        <w:numPr>
          <w:ilvl w:val="2"/>
          <w:numId w:val="2"/>
        </w:numPr>
        <w:spacing w:line="240" w:lineRule="auto"/>
      </w:pPr>
      <w:r>
        <w:lastRenderedPageBreak/>
        <w:t>We will be l</w:t>
      </w:r>
      <w:r w:rsidR="00305C3D">
        <w:t xml:space="preserve">ooking at smaller </w:t>
      </w:r>
      <w:r>
        <w:t xml:space="preserve">property type </w:t>
      </w:r>
      <w:r w:rsidR="00305C3D">
        <w:t xml:space="preserve">groups when </w:t>
      </w:r>
      <w:r>
        <w:t>&lt;50K</w:t>
      </w:r>
      <w:r w:rsidR="00305C3D">
        <w:t xml:space="preserve"> </w:t>
      </w:r>
      <w:r>
        <w:t>buildings come on line later on</w:t>
      </w:r>
    </w:p>
    <w:p w:rsidR="00305C3D" w:rsidRDefault="00305C3D" w:rsidP="00FD6D42">
      <w:pPr>
        <w:pStyle w:val="ListParagraph"/>
        <w:numPr>
          <w:ilvl w:val="2"/>
          <w:numId w:val="2"/>
        </w:numPr>
        <w:spacing w:line="240" w:lineRule="auto"/>
      </w:pPr>
      <w:r>
        <w:t>Important to consider where threshold is set and the impact of it in each type</w:t>
      </w:r>
    </w:p>
    <w:p w:rsidR="0061233F" w:rsidRDefault="0061233F" w:rsidP="00FD6D42">
      <w:pPr>
        <w:pStyle w:val="ListParagraph"/>
        <w:numPr>
          <w:ilvl w:val="2"/>
          <w:numId w:val="2"/>
        </w:numPr>
        <w:spacing w:line="240" w:lineRule="auto"/>
      </w:pPr>
      <w:r>
        <w:t>Multifamily – what about estimates (instead of actual usage) from central plant facilities (like campuses</w:t>
      </w:r>
      <w:r w:rsidR="00FD6D42">
        <w:t xml:space="preserve"> or district energy loops</w:t>
      </w:r>
      <w:r>
        <w:t>); concerned about over-simplified grouping and economies of scale for smaller properties; master metered versus individually metered</w:t>
      </w:r>
      <w:r w:rsidR="00F03FEC">
        <w:t>;</w:t>
      </w:r>
    </w:p>
    <w:p w:rsidR="00F03FEC" w:rsidRDefault="00F03FEC" w:rsidP="00FD6D42">
      <w:pPr>
        <w:pStyle w:val="ListParagraph"/>
        <w:numPr>
          <w:ilvl w:val="2"/>
          <w:numId w:val="2"/>
        </w:numPr>
        <w:spacing w:line="240" w:lineRule="auto"/>
      </w:pPr>
      <w:r>
        <w:t>Affordable housing – is future analysis available for registered vs. naturally occurring? (not at this time because no data set available with that identification)</w:t>
      </w:r>
    </w:p>
    <w:p w:rsidR="00F03FEC" w:rsidRDefault="00F03FEC" w:rsidP="00FD6D42">
      <w:pPr>
        <w:pStyle w:val="ListParagraph"/>
        <w:numPr>
          <w:ilvl w:val="2"/>
          <w:numId w:val="2"/>
        </w:numPr>
        <w:spacing w:line="240" w:lineRule="auto"/>
      </w:pPr>
      <w:r>
        <w:t>Mixed Use  properties concerned about being lumped into one category with other non-mixed-use</w:t>
      </w:r>
    </w:p>
    <w:p w:rsidR="00F03FEC" w:rsidRDefault="00F03FEC" w:rsidP="00F03FEC">
      <w:pPr>
        <w:pStyle w:val="ListParagraph"/>
        <w:numPr>
          <w:ilvl w:val="2"/>
          <w:numId w:val="2"/>
        </w:numPr>
        <w:spacing w:after="0"/>
      </w:pPr>
      <w:r>
        <w:t>Thought about creating different sub-groups for compliance pathways, maybe not for creating the groups for the median/score</w:t>
      </w:r>
    </w:p>
    <w:p w:rsidR="00832320" w:rsidRDefault="00832320" w:rsidP="0036030F">
      <w:pPr>
        <w:spacing w:line="240" w:lineRule="auto"/>
        <w:contextualSpacing/>
      </w:pPr>
    </w:p>
    <w:p w:rsidR="00832320" w:rsidRPr="0005295F" w:rsidRDefault="00832320" w:rsidP="0036030F">
      <w:pPr>
        <w:spacing w:line="240" w:lineRule="auto"/>
        <w:contextualSpacing/>
        <w:rPr>
          <w:b/>
        </w:rPr>
      </w:pPr>
      <w:r w:rsidRPr="0005295F">
        <w:rPr>
          <w:b/>
        </w:rPr>
        <w:t>Equivalent Metric</w:t>
      </w:r>
    </w:p>
    <w:p w:rsidR="0005295F" w:rsidRDefault="0005295F" w:rsidP="0005295F">
      <w:pPr>
        <w:pStyle w:val="ListParagraph"/>
        <w:numPr>
          <w:ilvl w:val="0"/>
          <w:numId w:val="4"/>
        </w:numPr>
        <w:spacing w:line="240" w:lineRule="auto"/>
      </w:pPr>
      <w:r>
        <w:t>Reviewed working group scenarios and feedback from July 16 session</w:t>
      </w:r>
    </w:p>
    <w:p w:rsidR="00832320" w:rsidRDefault="0005295F" w:rsidP="0005295F">
      <w:pPr>
        <w:pStyle w:val="ListParagraph"/>
        <w:numPr>
          <w:ilvl w:val="0"/>
          <w:numId w:val="4"/>
        </w:numPr>
        <w:spacing w:line="240" w:lineRule="auto"/>
      </w:pPr>
      <w:r>
        <w:t>Niche categories 5-10% need an equivalent metric. 90-95% qualify for an energy star score</w:t>
      </w:r>
    </w:p>
    <w:p w:rsidR="0005295F" w:rsidRDefault="0005295F" w:rsidP="0005295F">
      <w:pPr>
        <w:pStyle w:val="ListParagraph"/>
        <w:numPr>
          <w:ilvl w:val="0"/>
          <w:numId w:val="4"/>
        </w:numPr>
        <w:spacing w:line="240" w:lineRule="auto"/>
      </w:pPr>
      <w:r>
        <w:t>Methodology review – run by TAG</w:t>
      </w:r>
      <w:r w:rsidR="00F03FEC">
        <w:t xml:space="preserve"> previously</w:t>
      </w:r>
    </w:p>
    <w:p w:rsidR="00E61265" w:rsidRDefault="00B06BB8" w:rsidP="0005295F">
      <w:pPr>
        <w:pStyle w:val="ListParagraph"/>
        <w:numPr>
          <w:ilvl w:val="0"/>
          <w:numId w:val="4"/>
        </w:numPr>
        <w:spacing w:line="240" w:lineRule="auto"/>
      </w:pPr>
      <w:r>
        <w:t>Concern about con</w:t>
      </w:r>
      <w:r w:rsidR="00F03FEC">
        <w:t xml:space="preserve">fusing owners with source </w:t>
      </w:r>
      <w:proofErr w:type="spellStart"/>
      <w:r w:rsidR="00F03FEC">
        <w:t>EUI</w:t>
      </w:r>
      <w:proofErr w:type="spellEnd"/>
      <w:r w:rsidR="00F03FEC">
        <w:t xml:space="preserve"> for S</w:t>
      </w:r>
      <w:r>
        <w:t xml:space="preserve">tandard versus </w:t>
      </w:r>
      <w:r w:rsidR="00F03FEC">
        <w:t>S</w:t>
      </w:r>
      <w:r>
        <w:t xml:space="preserve">ite </w:t>
      </w:r>
      <w:proofErr w:type="spellStart"/>
      <w:r>
        <w:t>EUI</w:t>
      </w:r>
      <w:proofErr w:type="spellEnd"/>
      <w:r>
        <w:t xml:space="preserve"> used in the performance pathway</w:t>
      </w:r>
    </w:p>
    <w:p w:rsidR="00F03FEC" w:rsidRDefault="00B06BB8" w:rsidP="0005295F">
      <w:pPr>
        <w:pStyle w:val="ListParagraph"/>
        <w:numPr>
          <w:ilvl w:val="0"/>
          <w:numId w:val="4"/>
        </w:numPr>
        <w:spacing w:line="240" w:lineRule="auto"/>
      </w:pPr>
      <w:r>
        <w:t xml:space="preserve">Source </w:t>
      </w:r>
      <w:proofErr w:type="spellStart"/>
      <w:r>
        <w:t>EUI</w:t>
      </w:r>
      <w:proofErr w:type="spellEnd"/>
      <w:r>
        <w:t xml:space="preserve"> is closest to energy star score;</w:t>
      </w:r>
    </w:p>
    <w:p w:rsidR="00B06BB8" w:rsidRDefault="00F03FEC" w:rsidP="0005295F">
      <w:pPr>
        <w:pStyle w:val="ListParagraph"/>
        <w:numPr>
          <w:ilvl w:val="0"/>
          <w:numId w:val="4"/>
        </w:numPr>
        <w:spacing w:line="240" w:lineRule="auto"/>
      </w:pPr>
      <w:r>
        <w:t xml:space="preserve">If we don’t use weather-normalized </w:t>
      </w:r>
      <w:proofErr w:type="spellStart"/>
      <w:r>
        <w:t>EUI</w:t>
      </w:r>
      <w:proofErr w:type="spellEnd"/>
      <w:r>
        <w:t>,</w:t>
      </w:r>
      <w:r w:rsidR="00B06BB8">
        <w:t xml:space="preserve"> what to do about different systems in buildings and not normal weatherizing (example – all electric building during a polar vortex being penalized in </w:t>
      </w:r>
      <w:proofErr w:type="spellStart"/>
      <w:r w:rsidR="00B06BB8">
        <w:t>EUI</w:t>
      </w:r>
      <w:proofErr w:type="spellEnd"/>
      <w:r w:rsidR="00B06BB8">
        <w:t xml:space="preserve"> versus natural gas building)</w:t>
      </w:r>
      <w:r>
        <w:t>. Weather normalized is usually only used for comparing multiple years. The BEPS will only consider one year of data when setting the standard.</w:t>
      </w:r>
    </w:p>
    <w:p w:rsidR="00B06BB8" w:rsidRDefault="00B06BB8" w:rsidP="0005295F">
      <w:pPr>
        <w:pStyle w:val="ListParagraph"/>
        <w:numPr>
          <w:ilvl w:val="0"/>
          <w:numId w:val="4"/>
        </w:numPr>
        <w:spacing w:line="240" w:lineRule="auto"/>
      </w:pPr>
      <w:r>
        <w:t xml:space="preserve">Propose using a metric that helps DC meet its carbon </w:t>
      </w:r>
      <w:r w:rsidR="009F2396">
        <w:t xml:space="preserve">and electrification </w:t>
      </w:r>
      <w:r>
        <w:t>goals</w:t>
      </w:r>
    </w:p>
    <w:p w:rsidR="0005295F" w:rsidRDefault="009F2396" w:rsidP="0036030F">
      <w:pPr>
        <w:pStyle w:val="ListParagraph"/>
        <w:numPr>
          <w:ilvl w:val="0"/>
          <w:numId w:val="4"/>
        </w:numPr>
        <w:spacing w:line="240" w:lineRule="auto"/>
      </w:pPr>
      <w:r>
        <w:t>Did a vote to see where people landed in their preference for the equivalent metric; no clear winner and most abstain</w:t>
      </w:r>
    </w:p>
    <w:p w:rsidR="00305C3D" w:rsidRPr="00F03FEC" w:rsidRDefault="00F03FEC" w:rsidP="0036030F">
      <w:pPr>
        <w:spacing w:line="240" w:lineRule="auto"/>
        <w:contextualSpacing/>
        <w:rPr>
          <w:b/>
        </w:rPr>
      </w:pPr>
      <w:r>
        <w:rPr>
          <w:b/>
        </w:rPr>
        <w:t>Bike R</w:t>
      </w:r>
      <w:r w:rsidR="00305C3D" w:rsidRPr="00F03FEC">
        <w:rPr>
          <w:b/>
        </w:rPr>
        <w:t>ack</w:t>
      </w:r>
      <w:r>
        <w:rPr>
          <w:b/>
        </w:rPr>
        <w:t xml:space="preserve"> (for future discussion)</w:t>
      </w:r>
    </w:p>
    <w:p w:rsidR="00305C3D" w:rsidRDefault="00F03FEC" w:rsidP="00305C3D">
      <w:pPr>
        <w:pStyle w:val="ListParagraph"/>
        <w:numPr>
          <w:ilvl w:val="0"/>
          <w:numId w:val="3"/>
        </w:numPr>
        <w:spacing w:line="240" w:lineRule="auto"/>
      </w:pPr>
      <w:r>
        <w:t>Concern for a property type group that has only one building owner represented (ex. DGS and public service spaces)</w:t>
      </w:r>
    </w:p>
    <w:p w:rsidR="00305C3D" w:rsidRDefault="00F03FEC" w:rsidP="00F03FEC">
      <w:pPr>
        <w:pStyle w:val="ListParagraph"/>
        <w:numPr>
          <w:ilvl w:val="0"/>
          <w:numId w:val="3"/>
        </w:numPr>
        <w:spacing w:line="240" w:lineRule="auto"/>
      </w:pPr>
      <w:r>
        <w:t xml:space="preserve">Concern about age of building and groupings </w:t>
      </w:r>
    </w:p>
    <w:p w:rsidR="0061233F" w:rsidRDefault="0061233F" w:rsidP="00305C3D">
      <w:pPr>
        <w:pStyle w:val="ListParagraph"/>
        <w:numPr>
          <w:ilvl w:val="0"/>
          <w:numId w:val="3"/>
        </w:numPr>
        <w:spacing w:line="240" w:lineRule="auto"/>
      </w:pPr>
      <w:r>
        <w:t>Equity and analysis based on unavailable data</w:t>
      </w:r>
      <w:r w:rsidR="00212574">
        <w:t xml:space="preserve"> – other compliance paths? Exceptions?</w:t>
      </w:r>
    </w:p>
    <w:p w:rsidR="00E61265" w:rsidRDefault="00E61265" w:rsidP="00305C3D">
      <w:pPr>
        <w:pStyle w:val="ListParagraph"/>
        <w:numPr>
          <w:ilvl w:val="0"/>
          <w:numId w:val="3"/>
        </w:numPr>
        <w:spacing w:line="240" w:lineRule="auto"/>
      </w:pPr>
      <w:r>
        <w:t>Look at metrics for compliance pathways</w:t>
      </w:r>
      <w:r w:rsidR="009F2396">
        <w:t>; short term vs. long term goals</w:t>
      </w:r>
    </w:p>
    <w:p w:rsidR="009F2396" w:rsidRDefault="00B06BB8" w:rsidP="00305C3D">
      <w:pPr>
        <w:pStyle w:val="ListParagraph"/>
        <w:numPr>
          <w:ilvl w:val="0"/>
          <w:numId w:val="3"/>
        </w:numPr>
        <w:spacing w:line="240" w:lineRule="auto"/>
      </w:pPr>
      <w:r>
        <w:t xml:space="preserve">Public building portfolio and issues; </w:t>
      </w:r>
    </w:p>
    <w:p w:rsidR="00B06BB8" w:rsidRDefault="009F2396" w:rsidP="00305C3D">
      <w:pPr>
        <w:pStyle w:val="ListParagraph"/>
        <w:numPr>
          <w:ilvl w:val="0"/>
          <w:numId w:val="3"/>
        </w:numPr>
        <w:spacing w:line="240" w:lineRule="auto"/>
      </w:pPr>
      <w:r>
        <w:t>R</w:t>
      </w:r>
      <w:r w:rsidR="00B06BB8">
        <w:t xml:space="preserve">atcheting down in size will add more buildings to the list that will increase the number of building who </w:t>
      </w:r>
      <w:r>
        <w:t>have to use the equivalent metric</w:t>
      </w:r>
    </w:p>
    <w:p w:rsidR="00F03FEC" w:rsidRDefault="00F03FEC" w:rsidP="00F03FEC">
      <w:pPr>
        <w:pStyle w:val="ListParagraph"/>
        <w:numPr>
          <w:ilvl w:val="0"/>
          <w:numId w:val="3"/>
        </w:numPr>
        <w:spacing w:line="240" w:lineRule="auto"/>
      </w:pPr>
      <w:r>
        <w:t>I</w:t>
      </w:r>
      <w:r w:rsidRPr="00F03FEC">
        <w:t xml:space="preserve">n the </w:t>
      </w:r>
      <w:r>
        <w:t>2nd</w:t>
      </w:r>
      <w:r w:rsidRPr="00F03FEC">
        <w:t xml:space="preserve"> cycle, do the smaller sq</w:t>
      </w:r>
      <w:r w:rsidR="009F2396">
        <w:t xml:space="preserve">. </w:t>
      </w:r>
      <w:r w:rsidRPr="00F03FEC">
        <w:t>ft</w:t>
      </w:r>
      <w:r w:rsidR="009F2396">
        <w:t>.</w:t>
      </w:r>
      <w:r w:rsidRPr="00F03FEC">
        <w:t xml:space="preserve"> buildings get put into the same group as larger buildings? </w:t>
      </w:r>
    </w:p>
    <w:p w:rsidR="00832320" w:rsidRPr="00F03FEC" w:rsidRDefault="00764BF4" w:rsidP="0036030F">
      <w:pPr>
        <w:spacing w:line="240" w:lineRule="auto"/>
        <w:contextualSpacing/>
        <w:rPr>
          <w:b/>
        </w:rPr>
      </w:pPr>
      <w:r w:rsidRPr="00F03FEC">
        <w:rPr>
          <w:b/>
        </w:rPr>
        <w:t>Next meeting</w:t>
      </w:r>
      <w:r w:rsidR="009F2396">
        <w:rPr>
          <w:b/>
        </w:rPr>
        <w:t xml:space="preserve"> – Performance and Other Compliance Pathways</w:t>
      </w:r>
    </w:p>
    <w:p w:rsidR="002B06BE" w:rsidRDefault="002B06BE" w:rsidP="00764BF4">
      <w:pPr>
        <w:pStyle w:val="ListParagraph"/>
        <w:numPr>
          <w:ilvl w:val="0"/>
          <w:numId w:val="5"/>
        </w:numPr>
        <w:spacing w:line="240" w:lineRule="auto"/>
      </w:pPr>
      <w:r>
        <w:t>Early compliance – deep retrofits in exchange for extended compliance</w:t>
      </w:r>
      <w:r w:rsidR="009F2396">
        <w:t>?</w:t>
      </w:r>
    </w:p>
    <w:p w:rsidR="002B06BE" w:rsidRDefault="009F2396" w:rsidP="00764BF4">
      <w:pPr>
        <w:pStyle w:val="ListParagraph"/>
        <w:numPr>
          <w:ilvl w:val="0"/>
          <w:numId w:val="5"/>
        </w:numPr>
        <w:spacing w:line="240" w:lineRule="auto"/>
      </w:pPr>
      <w:r>
        <w:t>Possibility for tradable allowances? Within a portfolio or DC-wide? Maybe</w:t>
      </w:r>
      <w:r w:rsidR="002B06BE">
        <w:t xml:space="preserve"> energy efficiency credits (like </w:t>
      </w:r>
      <w:proofErr w:type="spellStart"/>
      <w:r w:rsidR="002B06BE">
        <w:t>stormwater</w:t>
      </w:r>
      <w:proofErr w:type="spellEnd"/>
      <w:r>
        <w:t>?</w:t>
      </w:r>
      <w:r w:rsidR="002B06BE">
        <w:t>)</w:t>
      </w:r>
    </w:p>
    <w:p w:rsidR="002B06BE" w:rsidRDefault="002B06BE" w:rsidP="00764BF4">
      <w:pPr>
        <w:pStyle w:val="ListParagraph"/>
        <w:numPr>
          <w:ilvl w:val="0"/>
          <w:numId w:val="5"/>
        </w:numPr>
        <w:spacing w:line="240" w:lineRule="auto"/>
      </w:pPr>
      <w:r>
        <w:lastRenderedPageBreak/>
        <w:t>Long term versus short term – meeting district goals</w:t>
      </w:r>
      <w:r w:rsidR="009F2396">
        <w:t xml:space="preserve"> in compliance paths</w:t>
      </w:r>
    </w:p>
    <w:p w:rsidR="002B06BE" w:rsidRDefault="002B06BE" w:rsidP="00764BF4">
      <w:pPr>
        <w:pStyle w:val="ListParagraph"/>
        <w:numPr>
          <w:ilvl w:val="0"/>
          <w:numId w:val="5"/>
        </w:numPr>
        <w:spacing w:line="240" w:lineRule="auto"/>
      </w:pPr>
      <w:r>
        <w:t>District energy systems</w:t>
      </w:r>
      <w:r w:rsidR="009F2396">
        <w:t>?</w:t>
      </w:r>
    </w:p>
    <w:p w:rsidR="002B06BE" w:rsidRDefault="002B06BE" w:rsidP="00764BF4">
      <w:pPr>
        <w:pStyle w:val="ListParagraph"/>
        <w:numPr>
          <w:ilvl w:val="0"/>
          <w:numId w:val="5"/>
        </w:numPr>
        <w:spacing w:line="240" w:lineRule="auto"/>
      </w:pPr>
      <w:r>
        <w:t xml:space="preserve">Affordable housing requirements – review existing </w:t>
      </w:r>
      <w:proofErr w:type="spellStart"/>
      <w:r>
        <w:t>reqts</w:t>
      </w:r>
      <w:proofErr w:type="spellEnd"/>
      <w:r w:rsidR="009F2396">
        <w:t>.</w:t>
      </w:r>
      <w:r>
        <w:t xml:space="preserve"> and match with BEPS</w:t>
      </w:r>
    </w:p>
    <w:p w:rsidR="002B06BE" w:rsidRDefault="002B06BE" w:rsidP="00764BF4">
      <w:pPr>
        <w:pStyle w:val="ListParagraph"/>
        <w:numPr>
          <w:ilvl w:val="0"/>
          <w:numId w:val="5"/>
        </w:numPr>
        <w:spacing w:line="240" w:lineRule="auto"/>
      </w:pPr>
      <w:r>
        <w:t>L</w:t>
      </w:r>
      <w:r w:rsidR="009F2396">
        <w:t>ook at other certification possibilities (like LEED or living building)</w:t>
      </w:r>
    </w:p>
    <w:p w:rsidR="002D19BF" w:rsidRDefault="002D19BF">
      <w:pPr>
        <w:rPr>
          <w:b/>
        </w:rPr>
      </w:pPr>
      <w:r>
        <w:rPr>
          <w:b/>
        </w:rPr>
        <w:br w:type="page"/>
      </w:r>
    </w:p>
    <w:p w:rsidR="0036030F" w:rsidRPr="009F2396" w:rsidRDefault="002B06BE" w:rsidP="0036030F">
      <w:pPr>
        <w:spacing w:line="240" w:lineRule="auto"/>
        <w:contextualSpacing/>
        <w:rPr>
          <w:b/>
        </w:rPr>
      </w:pPr>
      <w:r w:rsidRPr="009F2396">
        <w:rPr>
          <w:b/>
        </w:rPr>
        <w:lastRenderedPageBreak/>
        <w:t>Announcements</w:t>
      </w:r>
    </w:p>
    <w:p w:rsidR="009F2396" w:rsidRDefault="009F2396" w:rsidP="002B06BE">
      <w:pPr>
        <w:pStyle w:val="ListParagraph"/>
        <w:numPr>
          <w:ilvl w:val="0"/>
          <w:numId w:val="6"/>
        </w:numPr>
        <w:spacing w:line="240" w:lineRule="auto"/>
      </w:pPr>
      <w:r>
        <w:t>Job Opportunities:</w:t>
      </w:r>
    </w:p>
    <w:p w:rsidR="009F2396" w:rsidRDefault="009F2396" w:rsidP="009F2396">
      <w:pPr>
        <w:pStyle w:val="ListParagraph"/>
        <w:numPr>
          <w:ilvl w:val="1"/>
          <w:numId w:val="6"/>
        </w:numPr>
        <w:spacing w:line="240" w:lineRule="auto"/>
      </w:pPr>
      <w:proofErr w:type="spellStart"/>
      <w:r>
        <w:t>IMT</w:t>
      </w:r>
      <w:proofErr w:type="spellEnd"/>
      <w:r>
        <w:t xml:space="preserve">: </w:t>
      </w:r>
      <w:hyperlink r:id="rId8" w:anchor="DirectorDCHighPerformanceHub" w:history="1">
        <w:r w:rsidRPr="00EB184B">
          <w:rPr>
            <w:rStyle w:val="Hyperlink"/>
          </w:rPr>
          <w:t>Director, High-Performance Building Hub</w:t>
        </w:r>
      </w:hyperlink>
      <w:r>
        <w:t xml:space="preserve"> – closes soon!</w:t>
      </w:r>
    </w:p>
    <w:p w:rsidR="009F2396" w:rsidRDefault="009F2396" w:rsidP="009F2396">
      <w:pPr>
        <w:pStyle w:val="ListParagraph"/>
        <w:numPr>
          <w:ilvl w:val="1"/>
          <w:numId w:val="6"/>
        </w:numPr>
        <w:spacing w:line="240" w:lineRule="auto"/>
      </w:pPr>
      <w:r>
        <w:t xml:space="preserve">DOEE: </w:t>
      </w:r>
      <w:hyperlink r:id="rId9" w:history="1">
        <w:r w:rsidRPr="002D19BF">
          <w:rPr>
            <w:rStyle w:val="Hyperlink"/>
          </w:rPr>
          <w:t>Energy Program Analyst/Benchmarking</w:t>
        </w:r>
      </w:hyperlink>
      <w:r>
        <w:t xml:space="preserve"> - Job ID 9506 – closes Jan. 26, 2020</w:t>
      </w:r>
    </w:p>
    <w:p w:rsidR="009F2396" w:rsidRDefault="009F2396" w:rsidP="009F2396">
      <w:pPr>
        <w:pStyle w:val="ListParagraph"/>
        <w:numPr>
          <w:ilvl w:val="1"/>
          <w:numId w:val="6"/>
        </w:numPr>
        <w:spacing w:line="240" w:lineRule="auto"/>
      </w:pPr>
      <w:r>
        <w:t xml:space="preserve">DC Green Bank: </w:t>
      </w:r>
      <w:hyperlink r:id="rId10" w:history="1">
        <w:r w:rsidRPr="00EB184B">
          <w:rPr>
            <w:rStyle w:val="Hyperlink"/>
          </w:rPr>
          <w:t>Executive director</w:t>
        </w:r>
      </w:hyperlink>
      <w:r>
        <w:t xml:space="preserve"> – closes Jan. 10, 2020</w:t>
      </w:r>
    </w:p>
    <w:p w:rsidR="008E1180" w:rsidRDefault="008E1180" w:rsidP="009F2396">
      <w:pPr>
        <w:pStyle w:val="ListParagraph"/>
        <w:numPr>
          <w:ilvl w:val="1"/>
          <w:numId w:val="6"/>
        </w:numPr>
        <w:spacing w:line="240" w:lineRule="auto"/>
      </w:pPr>
      <w:proofErr w:type="spellStart"/>
      <w:r>
        <w:t>DCSEU</w:t>
      </w:r>
      <w:proofErr w:type="spellEnd"/>
      <w:r>
        <w:t xml:space="preserve"> </w:t>
      </w:r>
      <w:hyperlink r:id="rId11" w:history="1">
        <w:r w:rsidRPr="008E1180">
          <w:rPr>
            <w:rStyle w:val="Hyperlink"/>
          </w:rPr>
          <w:t xml:space="preserve">Intern </w:t>
        </w:r>
        <w:proofErr w:type="spellStart"/>
        <w:r w:rsidRPr="008E1180">
          <w:rPr>
            <w:rStyle w:val="Hyperlink"/>
          </w:rPr>
          <w:t>Postions</w:t>
        </w:r>
        <w:proofErr w:type="spellEnd"/>
      </w:hyperlink>
      <w:r>
        <w:t xml:space="preserve"> – various closing dates; see website for more info</w:t>
      </w:r>
    </w:p>
    <w:p w:rsidR="002B06BE" w:rsidRDefault="00B21F42" w:rsidP="002B06BE">
      <w:pPr>
        <w:pStyle w:val="ListParagraph"/>
        <w:numPr>
          <w:ilvl w:val="0"/>
          <w:numId w:val="6"/>
        </w:numPr>
        <w:spacing w:line="240" w:lineRule="auto"/>
      </w:pPr>
      <w:hyperlink r:id="rId12" w:history="1">
        <w:r w:rsidR="002D19BF" w:rsidRPr="002D19BF">
          <w:rPr>
            <w:rStyle w:val="Hyperlink"/>
          </w:rPr>
          <w:t>Net-Zero E</w:t>
        </w:r>
        <w:r w:rsidR="002B06BE" w:rsidRPr="002D19BF">
          <w:rPr>
            <w:rStyle w:val="Hyperlink"/>
          </w:rPr>
          <w:t>nergy</w:t>
        </w:r>
        <w:r w:rsidR="002D19BF" w:rsidRPr="002D19BF">
          <w:rPr>
            <w:rStyle w:val="Hyperlink"/>
          </w:rPr>
          <w:t xml:space="preserve"> Project Design Assistance grants</w:t>
        </w:r>
      </w:hyperlink>
      <w:r w:rsidR="002D19BF">
        <w:t xml:space="preserve"> – J</w:t>
      </w:r>
      <w:r w:rsidR="002B06BE">
        <w:t>an</w:t>
      </w:r>
      <w:r w:rsidR="002D19BF">
        <w:t>.</w:t>
      </w:r>
      <w:r w:rsidR="002B06BE">
        <w:t xml:space="preserve"> 27</w:t>
      </w:r>
      <w:r w:rsidR="002D19BF">
        <w:t>, 2020</w:t>
      </w:r>
      <w:r w:rsidR="002B06BE">
        <w:t xml:space="preserve"> deadline</w:t>
      </w:r>
    </w:p>
    <w:p w:rsidR="002B06BE" w:rsidRDefault="002B06BE" w:rsidP="0036030F">
      <w:pPr>
        <w:spacing w:line="240" w:lineRule="auto"/>
        <w:contextualSpacing/>
      </w:pPr>
    </w:p>
    <w:sectPr w:rsidR="002B06BE" w:rsidSect="00B21F4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80" w:rsidRDefault="008E1180" w:rsidP="008E1180">
      <w:pPr>
        <w:spacing w:after="0" w:line="240" w:lineRule="auto"/>
      </w:pPr>
      <w:r>
        <w:separator/>
      </w:r>
    </w:p>
  </w:endnote>
  <w:endnote w:type="continuationSeparator" w:id="0">
    <w:p w:rsidR="008E1180" w:rsidRDefault="008E1180" w:rsidP="008E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80" w:rsidRDefault="008E1180" w:rsidP="008E1180">
      <w:pPr>
        <w:spacing w:after="0" w:line="240" w:lineRule="auto"/>
      </w:pPr>
      <w:r>
        <w:separator/>
      </w:r>
    </w:p>
  </w:footnote>
  <w:footnote w:type="continuationSeparator" w:id="0">
    <w:p w:rsidR="008E1180" w:rsidRDefault="008E1180" w:rsidP="008E1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42" w:rsidRDefault="00B21F42" w:rsidP="00B21F42">
    <w:pPr>
      <w:tabs>
        <w:tab w:val="left" w:pos="6553"/>
      </w:tabs>
      <w:jc w:val="center"/>
      <w:rPr>
        <w:rFonts w:ascii="Century Gothic" w:hAnsi="Century Gothic"/>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B21F42" w:rsidRDefault="00B21F42" w:rsidP="00B21F42">
    <w:pPr>
      <w:pStyle w:val="Header"/>
      <w:tabs>
        <w:tab w:val="clear" w:pos="4680"/>
        <w:tab w:val="clear" w:pos="9360"/>
        <w:tab w:val="left" w:pos="5580"/>
      </w:tabs>
    </w:pPr>
    <w:r>
      <w:rPr>
        <w:noProof/>
      </w:rPr>
      <w:drawing>
        <wp:anchor distT="0" distB="0" distL="114300" distR="114300" simplePos="0" relativeHeight="251659264" behindDoc="0" locked="0" layoutInCell="1" allowOverlap="1" wp14:anchorId="1278D009" wp14:editId="3FD193AE">
          <wp:simplePos x="0" y="0"/>
          <wp:positionH relativeFrom="page">
            <wp:posOffset>3649345</wp:posOffset>
          </wp:positionH>
          <wp:positionV relativeFrom="paragraph">
            <wp:posOffset>160020</wp:posOffset>
          </wp:positionV>
          <wp:extent cx="685800" cy="530225"/>
          <wp:effectExtent l="0" t="0" r="0" b="3175"/>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0225"/>
                  </a:xfrm>
                  <a:prstGeom prst="rect">
                    <a:avLst/>
                  </a:prstGeom>
                  <a:noFill/>
                </pic:spPr>
              </pic:pic>
            </a:graphicData>
          </a:graphic>
          <wp14:sizeRelH relativeFrom="margin">
            <wp14:pctWidth>0</wp14:pctWidth>
          </wp14:sizeRelH>
          <wp14:sizeRelV relativeFrom="margin">
            <wp14:pctHeight>0</wp14:pctHeight>
          </wp14:sizeRelV>
        </wp:anchor>
      </w:drawing>
    </w:r>
    <w:r>
      <w:tab/>
    </w:r>
  </w:p>
  <w:p w:rsidR="00B21F42" w:rsidRPr="00C43182" w:rsidRDefault="00B21F42" w:rsidP="00B21F42">
    <w:pPr>
      <w:pStyle w:val="Header"/>
    </w:pPr>
  </w:p>
  <w:p w:rsidR="00B21F42" w:rsidRPr="00B81454" w:rsidRDefault="00B21F42" w:rsidP="00B21F42">
    <w:pPr>
      <w:pStyle w:val="Header"/>
    </w:pPr>
  </w:p>
  <w:p w:rsidR="00B21F42" w:rsidRDefault="00B21F42" w:rsidP="00B21F42">
    <w:pPr>
      <w:pStyle w:val="Header"/>
    </w:pPr>
  </w:p>
  <w:p w:rsidR="00B21F42" w:rsidRDefault="00B21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4B"/>
    <w:multiLevelType w:val="hybridMultilevel"/>
    <w:tmpl w:val="2F48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62D28"/>
    <w:multiLevelType w:val="hybridMultilevel"/>
    <w:tmpl w:val="014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26550"/>
    <w:multiLevelType w:val="hybridMultilevel"/>
    <w:tmpl w:val="D12E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E1AD7"/>
    <w:multiLevelType w:val="hybridMultilevel"/>
    <w:tmpl w:val="3E3A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31FE3"/>
    <w:multiLevelType w:val="hybridMultilevel"/>
    <w:tmpl w:val="DB5A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B2C16"/>
    <w:multiLevelType w:val="hybridMultilevel"/>
    <w:tmpl w:val="0356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E5D76"/>
    <w:multiLevelType w:val="hybridMultilevel"/>
    <w:tmpl w:val="8BCC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74F24"/>
    <w:multiLevelType w:val="hybridMultilevel"/>
    <w:tmpl w:val="D74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14665"/>
    <w:multiLevelType w:val="hybridMultilevel"/>
    <w:tmpl w:val="BE6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7"/>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DC"/>
    <w:rsid w:val="0005295F"/>
    <w:rsid w:val="00212574"/>
    <w:rsid w:val="0026309F"/>
    <w:rsid w:val="002B06BE"/>
    <w:rsid w:val="002D19BF"/>
    <w:rsid w:val="00305C3D"/>
    <w:rsid w:val="0036030F"/>
    <w:rsid w:val="00400366"/>
    <w:rsid w:val="0061233F"/>
    <w:rsid w:val="006725DC"/>
    <w:rsid w:val="00764BF4"/>
    <w:rsid w:val="00832320"/>
    <w:rsid w:val="008E1180"/>
    <w:rsid w:val="009F2396"/>
    <w:rsid w:val="00B06BB8"/>
    <w:rsid w:val="00B21F42"/>
    <w:rsid w:val="00D81B13"/>
    <w:rsid w:val="00D92821"/>
    <w:rsid w:val="00E61265"/>
    <w:rsid w:val="00F03FEC"/>
    <w:rsid w:val="00F24B83"/>
    <w:rsid w:val="00FD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20"/>
    <w:pPr>
      <w:ind w:left="720"/>
      <w:contextualSpacing/>
    </w:pPr>
  </w:style>
  <w:style w:type="character" w:styleId="Hyperlink">
    <w:name w:val="Hyperlink"/>
    <w:basedOn w:val="DefaultParagraphFont"/>
    <w:uiPriority w:val="99"/>
    <w:unhideWhenUsed/>
    <w:rsid w:val="009F2396"/>
    <w:rPr>
      <w:color w:val="0000FF" w:themeColor="hyperlink"/>
      <w:u w:val="single"/>
    </w:rPr>
  </w:style>
  <w:style w:type="paragraph" w:styleId="Header">
    <w:name w:val="header"/>
    <w:basedOn w:val="Normal"/>
    <w:link w:val="HeaderChar"/>
    <w:uiPriority w:val="99"/>
    <w:unhideWhenUsed/>
    <w:rsid w:val="00B21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42"/>
  </w:style>
  <w:style w:type="paragraph" w:styleId="Footer">
    <w:name w:val="footer"/>
    <w:basedOn w:val="Normal"/>
    <w:link w:val="FooterChar"/>
    <w:uiPriority w:val="99"/>
    <w:unhideWhenUsed/>
    <w:rsid w:val="00B21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20"/>
    <w:pPr>
      <w:ind w:left="720"/>
      <w:contextualSpacing/>
    </w:pPr>
  </w:style>
  <w:style w:type="character" w:styleId="Hyperlink">
    <w:name w:val="Hyperlink"/>
    <w:basedOn w:val="DefaultParagraphFont"/>
    <w:uiPriority w:val="99"/>
    <w:unhideWhenUsed/>
    <w:rsid w:val="009F2396"/>
    <w:rPr>
      <w:color w:val="0000FF" w:themeColor="hyperlink"/>
      <w:u w:val="single"/>
    </w:rPr>
  </w:style>
  <w:style w:type="paragraph" w:styleId="Header">
    <w:name w:val="header"/>
    <w:basedOn w:val="Normal"/>
    <w:link w:val="HeaderChar"/>
    <w:uiPriority w:val="99"/>
    <w:unhideWhenUsed/>
    <w:rsid w:val="00B21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42"/>
  </w:style>
  <w:style w:type="paragraph" w:styleId="Footer">
    <w:name w:val="footer"/>
    <w:basedOn w:val="Normal"/>
    <w:link w:val="FooterChar"/>
    <w:uiPriority w:val="99"/>
    <w:unhideWhenUsed/>
    <w:rsid w:val="00B21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t.org/about/job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ee.dc.gov/node/14495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cseu-veic.icims.com/jobs/search?ss=1&amp;notFound=1&amp;mobile=false&amp;width=1140&amp;height=500&amp;bga=true&amp;needsRedirect=false&amp;jan1offset=-300&amp;jun1offset=-2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cgreenbank.org/wp-content/uploads/2019/11/DCGB_CEO-Job-Description-1.pdf" TargetMode="External"/><Relationship Id="rId4" Type="http://schemas.openxmlformats.org/officeDocument/2006/relationships/settings" Target="settings.xml"/><Relationship Id="rId9" Type="http://schemas.openxmlformats.org/officeDocument/2006/relationships/hyperlink" Target="https://careers.dc.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Held, Andrew (DOEE)</cp:lastModifiedBy>
  <cp:revision>2</cp:revision>
  <dcterms:created xsi:type="dcterms:W3CDTF">2020-01-14T19:52:00Z</dcterms:created>
  <dcterms:modified xsi:type="dcterms:W3CDTF">2020-01-14T19:52:00Z</dcterms:modified>
</cp:coreProperties>
</file>