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99A8" w14:textId="77777777" w:rsidR="003234D3" w:rsidRDefault="00AC4452" w:rsidP="003234D3">
      <w:pPr>
        <w:jc w:val="center"/>
        <w:rPr>
          <w:b/>
          <w:sz w:val="36"/>
          <w:u w:val="single"/>
        </w:rPr>
      </w:pPr>
      <w:r w:rsidRPr="00AC4452">
        <w:rPr>
          <w:noProof/>
        </w:rPr>
        <w:drawing>
          <wp:anchor distT="0" distB="0" distL="114300" distR="114300" simplePos="0" relativeHeight="251658240" behindDoc="1" locked="0" layoutInCell="1" allowOverlap="1" wp14:anchorId="45E3512E" wp14:editId="3CAE3418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8B76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4D500801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124FFBE9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217FE28D" w14:textId="5AC82774" w:rsidR="003234D3" w:rsidRPr="003234D3" w:rsidRDefault="006F3541" w:rsidP="003234D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Non</w:t>
      </w:r>
      <w:r w:rsidR="000C53BB">
        <w:rPr>
          <w:b/>
          <w:sz w:val="36"/>
          <w:u w:val="single"/>
        </w:rPr>
        <w:t xml:space="preserve">registered </w:t>
      </w:r>
      <w:r w:rsidR="003B7C4F">
        <w:rPr>
          <w:b/>
          <w:sz w:val="36"/>
          <w:u w:val="single"/>
        </w:rPr>
        <w:t>M</w:t>
      </w:r>
      <w:r w:rsidR="000C53BB">
        <w:rPr>
          <w:b/>
          <w:sz w:val="36"/>
          <w:u w:val="single"/>
        </w:rPr>
        <w:t>anufacturer</w:t>
      </w:r>
      <w:r w:rsidR="003B7C4F">
        <w:rPr>
          <w:b/>
          <w:sz w:val="36"/>
          <w:u w:val="single"/>
        </w:rPr>
        <w:t>s List</w:t>
      </w:r>
    </w:p>
    <w:p w14:paraId="42230AF2" w14:textId="77777777" w:rsidR="003234D3" w:rsidRDefault="003234D3" w:rsidP="000347C2"/>
    <w:p w14:paraId="244456DC" w14:textId="77777777" w:rsidR="00AF0228" w:rsidRPr="00C52922" w:rsidRDefault="00AF0228" w:rsidP="00AF0228">
      <w:pPr>
        <w:textAlignment w:val="baseline"/>
        <w:rPr>
          <w:color w:val="444444"/>
        </w:rPr>
      </w:pPr>
    </w:p>
    <w:p w14:paraId="68BA12A2" w14:textId="73FE11AA" w:rsidR="00224BD2" w:rsidRPr="00C52922" w:rsidRDefault="00AF0228" w:rsidP="00AF0228">
      <w:pPr>
        <w:textAlignment w:val="baseline"/>
      </w:pPr>
      <w:r w:rsidRPr="00C52922">
        <w:t xml:space="preserve">Retailers may sell or offer for sale new </w:t>
      </w:r>
      <w:hyperlink r:id="rId9" w:history="1">
        <w:r w:rsidRPr="00410423">
          <w:rPr>
            <w:rStyle w:val="Hyperlink"/>
          </w:rPr>
          <w:t>covered electronic equipment (CEE)</w:t>
        </w:r>
      </w:hyperlink>
      <w:r w:rsidRPr="00C52922">
        <w:t xml:space="preserve"> in the District only if</w:t>
      </w:r>
      <w:r w:rsidR="0076186E">
        <w:t>:</w:t>
      </w:r>
    </w:p>
    <w:p w14:paraId="57F49DA1" w14:textId="7777777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equipment is labeled with a readily visible brand identifying the manufacturer, and </w:t>
      </w:r>
    </w:p>
    <w:p w14:paraId="269B98C0" w14:textId="1711E9E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has registered with </w:t>
      </w:r>
      <w:r w:rsidR="00956DDE">
        <w:rPr>
          <w:rFonts w:ascii="Times New Roman" w:hAnsi="Times New Roman" w:cs="Times New Roman"/>
          <w:sz w:val="24"/>
          <w:szCs w:val="24"/>
        </w:rPr>
        <w:t>the Department of Energy &amp; Environment (DOEE)</w:t>
      </w:r>
      <w:r w:rsidRPr="00C52922">
        <w:rPr>
          <w:rFonts w:ascii="Times New Roman" w:hAnsi="Times New Roman" w:cs="Times New Roman"/>
          <w:sz w:val="24"/>
          <w:szCs w:val="24"/>
        </w:rPr>
        <w:t xml:space="preserve">; </w:t>
      </w:r>
      <w:r w:rsidR="00A74CAD" w:rsidRPr="00C52922">
        <w:rPr>
          <w:rFonts w:ascii="Times New Roman" w:hAnsi="Times New Roman" w:cs="Times New Roman"/>
          <w:sz w:val="24"/>
          <w:szCs w:val="24"/>
        </w:rPr>
        <w:t>or</w:t>
      </w:r>
    </w:p>
    <w:p w14:paraId="3C9DC048" w14:textId="0C68A64E" w:rsidR="00A74CAD" w:rsidRPr="00C52922" w:rsidRDefault="004D589B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</w:t>
      </w:r>
      <w:r w:rsidR="00AF0228" w:rsidRPr="00C52922">
        <w:rPr>
          <w:rFonts w:ascii="Times New Roman" w:hAnsi="Times New Roman" w:cs="Times New Roman"/>
          <w:sz w:val="24"/>
          <w:szCs w:val="24"/>
        </w:rPr>
        <w:t>is exempted from these requirements.</w:t>
      </w:r>
      <w:r w:rsidR="00D444D6" w:rsidRPr="00C52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77848" w14:textId="691AFCCE" w:rsidR="00AF0228" w:rsidRPr="00C52922" w:rsidRDefault="0076186E" w:rsidP="00A74CAD">
      <w:pPr>
        <w:textAlignment w:val="baseline"/>
        <w:rPr>
          <w:rStyle w:val="Hyperlink"/>
          <w:color w:val="auto"/>
        </w:rPr>
      </w:pPr>
      <w:r>
        <w:t xml:space="preserve">Please visit </w:t>
      </w:r>
      <w:hyperlink r:id="rId10" w:history="1">
        <w:r w:rsidRPr="0076186E">
          <w:rPr>
            <w:rStyle w:val="Hyperlink"/>
          </w:rPr>
          <w:t>this webpage</w:t>
        </w:r>
      </w:hyperlink>
      <w:r>
        <w:t xml:space="preserve"> to view the current list of r</w:t>
      </w:r>
      <w:r w:rsidR="00AF0228" w:rsidRPr="0076186E">
        <w:t xml:space="preserve">egistered </w:t>
      </w:r>
      <w:r w:rsidR="00140B63" w:rsidRPr="0076186E">
        <w:t>or</w:t>
      </w:r>
      <w:r w:rsidR="00AF0228" w:rsidRPr="0076186E">
        <w:t xml:space="preserve"> </w:t>
      </w:r>
      <w:r>
        <w:t>e</w:t>
      </w:r>
      <w:r w:rsidR="00AF0228" w:rsidRPr="0076186E">
        <w:t xml:space="preserve">xempt </w:t>
      </w:r>
      <w:r>
        <w:t>m</w:t>
      </w:r>
      <w:r w:rsidR="00AF0228" w:rsidRPr="0076186E">
        <w:t xml:space="preserve">anufacturers and </w:t>
      </w:r>
      <w:r>
        <w:t>b</w:t>
      </w:r>
      <w:r w:rsidR="00AF0228" w:rsidRPr="0076186E">
        <w:t>rands</w:t>
      </w:r>
      <w:r>
        <w:t>.</w:t>
      </w:r>
    </w:p>
    <w:p w14:paraId="0EAF4585" w14:textId="77777777" w:rsidR="00A74CAD" w:rsidRPr="00C52922" w:rsidRDefault="00A74CAD" w:rsidP="00A74CAD">
      <w:pPr>
        <w:textAlignment w:val="baseline"/>
        <w:rPr>
          <w:rFonts w:eastAsiaTheme="minorHAnsi"/>
        </w:rPr>
      </w:pPr>
    </w:p>
    <w:p w14:paraId="7D0879AE" w14:textId="60DDA418" w:rsidR="00AF0228" w:rsidRDefault="00AF0228" w:rsidP="00AF0228">
      <w:pPr>
        <w:textAlignment w:val="baseline"/>
      </w:pPr>
      <w:r w:rsidRPr="00C52922">
        <w:t xml:space="preserve">DOEE has identified </w:t>
      </w:r>
      <w:r w:rsidR="00560425" w:rsidRPr="00C52922">
        <w:t>the</w:t>
      </w:r>
      <w:r w:rsidRPr="00C52922">
        <w:t xml:space="preserve"> manufacturers</w:t>
      </w:r>
      <w:r w:rsidR="0026506E" w:rsidRPr="00C52922">
        <w:t xml:space="preserve"> listed below</w:t>
      </w:r>
      <w:r w:rsidR="00560425" w:rsidRPr="00C52922">
        <w:t xml:space="preserve"> </w:t>
      </w:r>
      <w:r w:rsidR="0026506E" w:rsidRPr="00C52922">
        <w:t xml:space="preserve">whose CEE is being sold in the District </w:t>
      </w:r>
      <w:r w:rsidR="00560425" w:rsidRPr="00C52922">
        <w:t xml:space="preserve">even though the manufacturers are not </w:t>
      </w:r>
      <w:r w:rsidR="0026506E" w:rsidRPr="00C52922">
        <w:t>registered</w:t>
      </w:r>
      <w:r w:rsidR="00402942">
        <w:t xml:space="preserve"> with DOEE</w:t>
      </w:r>
      <w:r w:rsidR="0026506E" w:rsidRPr="00C52922">
        <w:t xml:space="preserve"> or exempt</w:t>
      </w:r>
      <w:r w:rsidR="00560425" w:rsidRPr="00C52922">
        <w:t xml:space="preserve"> from registration</w:t>
      </w:r>
      <w:r w:rsidRPr="00C52922">
        <w:t xml:space="preserve">. Retailers may not sell their covered electronic equipment, nor covered equipment from </w:t>
      </w:r>
      <w:r w:rsidR="006C3F9A" w:rsidRPr="00C52922">
        <w:t>any</w:t>
      </w:r>
      <w:r w:rsidR="006127B0">
        <w:t xml:space="preserve"> other</w:t>
      </w:r>
      <w:r w:rsidR="006C3F9A" w:rsidRPr="00C52922">
        <w:t xml:space="preserve"> manufacturer that is not</w:t>
      </w:r>
      <w:r w:rsidR="00055E31">
        <w:t xml:space="preserve"> listed</w:t>
      </w:r>
      <w:r w:rsidR="006C3F9A" w:rsidRPr="00C52922">
        <w:t xml:space="preserve"> on </w:t>
      </w:r>
      <w:hyperlink r:id="rId11" w:history="1">
        <w:r w:rsidR="00344228" w:rsidRPr="0076186E">
          <w:rPr>
            <w:rStyle w:val="Hyperlink"/>
          </w:rPr>
          <w:t>this webpage</w:t>
        </w:r>
      </w:hyperlink>
      <w:r w:rsidR="006C3F9A" w:rsidRPr="00C52922">
        <w:t>.</w:t>
      </w:r>
      <w:r w:rsidRPr="00C52922">
        <w:t xml:space="preserve"> </w:t>
      </w:r>
    </w:p>
    <w:p w14:paraId="31ED1DB6" w14:textId="77777777" w:rsidR="002B623A" w:rsidRDefault="002B623A" w:rsidP="00AF0228">
      <w:pPr>
        <w:textAlignment w:val="baseline"/>
      </w:pPr>
    </w:p>
    <w:p w14:paraId="6A8FFC6E" w14:textId="77777777" w:rsidR="002B623A" w:rsidRPr="00C52922" w:rsidRDefault="002B623A" w:rsidP="00AF0228">
      <w:pPr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340"/>
        <w:gridCol w:w="2875"/>
      </w:tblGrid>
      <w:tr w:rsidR="00F44821" w14:paraId="015566B6" w14:textId="77777777" w:rsidTr="00AD2667">
        <w:tc>
          <w:tcPr>
            <w:tcW w:w="4135" w:type="dxa"/>
            <w:shd w:val="clear" w:color="auto" w:fill="auto"/>
          </w:tcPr>
          <w:p w14:paraId="5070775F" w14:textId="76D8B190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Manufacturer Name</w:t>
            </w:r>
          </w:p>
        </w:tc>
        <w:tc>
          <w:tcPr>
            <w:tcW w:w="2340" w:type="dxa"/>
            <w:shd w:val="clear" w:color="auto" w:fill="auto"/>
          </w:tcPr>
          <w:p w14:paraId="05A04A63" w14:textId="074394C5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Brand</w:t>
            </w:r>
          </w:p>
        </w:tc>
        <w:tc>
          <w:tcPr>
            <w:tcW w:w="2875" w:type="dxa"/>
            <w:shd w:val="clear" w:color="auto" w:fill="auto"/>
          </w:tcPr>
          <w:p w14:paraId="71526764" w14:textId="3FD2BBD4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Date Placed on List</w:t>
            </w:r>
          </w:p>
        </w:tc>
      </w:tr>
      <w:tr w:rsidR="002B623A" w14:paraId="15BD87A0" w14:textId="77777777" w:rsidTr="0013240C">
        <w:tc>
          <w:tcPr>
            <w:tcW w:w="4135" w:type="dxa"/>
            <w:shd w:val="clear" w:color="auto" w:fill="auto"/>
            <w:vAlign w:val="center"/>
          </w:tcPr>
          <w:p w14:paraId="073DB4C7" w14:textId="77777777" w:rsidR="002B623A" w:rsidRDefault="002B623A" w:rsidP="002B623A">
            <w:pPr>
              <w:jc w:val="center"/>
            </w:pPr>
            <w:r>
              <w:t xml:space="preserve">American Future Technology Corp. </w:t>
            </w:r>
          </w:p>
          <w:p w14:paraId="5277C3BE" w14:textId="2FFFE695" w:rsidR="002B623A" w:rsidRPr="00E03588" w:rsidRDefault="002B623A" w:rsidP="002B623A">
            <w:pPr>
              <w:jc w:val="center"/>
            </w:pPr>
            <w:r w:rsidRPr="00E03588">
              <w:t xml:space="preserve">dba: </w:t>
            </w:r>
            <w:proofErr w:type="spellStart"/>
            <w:r w:rsidRPr="00E03588">
              <w:t>ibuypower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579D20CC" w14:textId="4B41EB20" w:rsidR="002B623A" w:rsidRPr="00E03588" w:rsidRDefault="002B623A" w:rsidP="002B623A">
            <w:pPr>
              <w:jc w:val="center"/>
            </w:pPr>
            <w:proofErr w:type="spellStart"/>
            <w:r w:rsidRPr="00970B3A">
              <w:t>iBUYPOWER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4200049B" w14:textId="0F0812F1" w:rsidR="00345A37" w:rsidRPr="00E03588" w:rsidRDefault="00345A37" w:rsidP="00345A37">
            <w:pPr>
              <w:jc w:val="center"/>
            </w:pPr>
            <w:r>
              <w:t>1/1</w:t>
            </w:r>
            <w:r w:rsidR="007575FE">
              <w:t>9</w:t>
            </w:r>
            <w:r>
              <w:t>/2022</w:t>
            </w:r>
            <w:r w:rsidR="003673AC">
              <w:t>*</w:t>
            </w:r>
          </w:p>
        </w:tc>
      </w:tr>
      <w:tr w:rsidR="007575FE" w14:paraId="6E460D17" w14:textId="77777777" w:rsidTr="0013240C">
        <w:tc>
          <w:tcPr>
            <w:tcW w:w="4135" w:type="dxa"/>
            <w:shd w:val="clear" w:color="auto" w:fill="auto"/>
            <w:vAlign w:val="center"/>
          </w:tcPr>
          <w:p w14:paraId="143D6177" w14:textId="7FE9AC3D" w:rsidR="007575FE" w:rsidRPr="00E03588" w:rsidRDefault="007575FE" w:rsidP="007575FE">
            <w:pPr>
              <w:jc w:val="center"/>
            </w:pPr>
            <w:r w:rsidRPr="00E03588">
              <w:t>Curtis International Ltd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D0BC0B" w14:textId="3AE5FD92" w:rsidR="007575FE" w:rsidRPr="00E03588" w:rsidRDefault="007575FE" w:rsidP="007575FE">
            <w:pPr>
              <w:jc w:val="center"/>
            </w:pPr>
            <w:r w:rsidRPr="00970B3A">
              <w:t>RCA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FCAB31D" w14:textId="65EFA778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367460E6" w14:textId="77777777" w:rsidTr="0013240C">
        <w:tc>
          <w:tcPr>
            <w:tcW w:w="4135" w:type="dxa"/>
            <w:shd w:val="clear" w:color="auto" w:fill="auto"/>
            <w:vAlign w:val="center"/>
          </w:tcPr>
          <w:p w14:paraId="4A05CF60" w14:textId="0081F217" w:rsidR="007575FE" w:rsidRPr="00E03588" w:rsidRDefault="007575FE" w:rsidP="007575FE">
            <w:pPr>
              <w:jc w:val="center"/>
            </w:pPr>
            <w:r w:rsidRPr="00E03588">
              <w:t>Envision Peripherals, Inc.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F16B5E" w14:textId="6C34DB5D" w:rsidR="007575FE" w:rsidRPr="00E03588" w:rsidRDefault="007575FE" w:rsidP="007575FE">
            <w:pPr>
              <w:jc w:val="center"/>
            </w:pPr>
            <w:r w:rsidRPr="00970B3A">
              <w:t>AOC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7B0D8A7" w14:textId="3F51644C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25F1A735" w14:textId="77777777" w:rsidTr="0013240C">
        <w:tc>
          <w:tcPr>
            <w:tcW w:w="4135" w:type="dxa"/>
            <w:shd w:val="clear" w:color="auto" w:fill="auto"/>
            <w:vAlign w:val="center"/>
          </w:tcPr>
          <w:p w14:paraId="4C69DAE9" w14:textId="14310CC3" w:rsidR="007575FE" w:rsidRPr="00E03588" w:rsidRDefault="007575FE" w:rsidP="007575FE">
            <w:pPr>
              <w:jc w:val="center"/>
            </w:pPr>
            <w:r w:rsidRPr="00E03588">
              <w:t>Epson America, Inc.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FFF9EF" w14:textId="42D07745" w:rsidR="007575FE" w:rsidRPr="00E03588" w:rsidRDefault="007575FE" w:rsidP="007575FE">
            <w:pPr>
              <w:jc w:val="center"/>
            </w:pPr>
            <w:r w:rsidRPr="00970B3A">
              <w:t>Epson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E23FEC5" w14:textId="77FCFA79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74A34D39" w14:textId="77777777" w:rsidTr="0013240C">
        <w:tc>
          <w:tcPr>
            <w:tcW w:w="4135" w:type="dxa"/>
            <w:shd w:val="clear" w:color="auto" w:fill="auto"/>
            <w:vAlign w:val="center"/>
          </w:tcPr>
          <w:p w14:paraId="348570FB" w14:textId="38C3555B" w:rsidR="007575FE" w:rsidRPr="00E03588" w:rsidRDefault="007575FE" w:rsidP="007575FE">
            <w:pPr>
              <w:jc w:val="center"/>
            </w:pPr>
            <w:r w:rsidRPr="00E03588">
              <w:t>Meta Platforms Technologies, LLC. (Formerly Facebook Technologies, LLC.)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E4C09CC" w14:textId="527C6EE7" w:rsidR="007575FE" w:rsidRPr="00E03588" w:rsidRDefault="007575FE" w:rsidP="007575FE">
            <w:pPr>
              <w:jc w:val="center"/>
            </w:pPr>
            <w:r w:rsidRPr="00970B3A">
              <w:t>Portal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620D54A" w14:textId="2A68CC8D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4E3DF31A" w14:textId="77777777" w:rsidTr="0022712A">
        <w:tc>
          <w:tcPr>
            <w:tcW w:w="4135" w:type="dxa"/>
            <w:shd w:val="clear" w:color="auto" w:fill="auto"/>
          </w:tcPr>
          <w:p w14:paraId="5DAF4301" w14:textId="38AE5219" w:rsidR="007575FE" w:rsidRPr="00E03588" w:rsidRDefault="007575FE" w:rsidP="007575FE">
            <w:pPr>
              <w:jc w:val="center"/>
            </w:pPr>
            <w:r w:rsidRPr="00E03588">
              <w:t>Nintendo of America Inc.</w:t>
            </w:r>
          </w:p>
        </w:tc>
        <w:tc>
          <w:tcPr>
            <w:tcW w:w="2340" w:type="dxa"/>
            <w:shd w:val="clear" w:color="auto" w:fill="auto"/>
          </w:tcPr>
          <w:p w14:paraId="27AA6CDC" w14:textId="0AB76FC9" w:rsidR="007575FE" w:rsidRPr="00E03588" w:rsidRDefault="007575FE" w:rsidP="007575FE">
            <w:pPr>
              <w:jc w:val="center"/>
            </w:pPr>
            <w:r w:rsidRPr="00970B3A">
              <w:t>Nintendo Switch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501EF230" w14:textId="32AD1099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353083C6" w14:textId="77777777" w:rsidTr="002122BB">
        <w:tc>
          <w:tcPr>
            <w:tcW w:w="4135" w:type="dxa"/>
            <w:shd w:val="clear" w:color="auto" w:fill="auto"/>
          </w:tcPr>
          <w:p w14:paraId="16CCCB28" w14:textId="71D16013" w:rsidR="007575FE" w:rsidRPr="00E03588" w:rsidRDefault="007575FE" w:rsidP="007575FE">
            <w:pPr>
              <w:jc w:val="center"/>
            </w:pPr>
            <w:r w:rsidRPr="00E03588">
              <w:t>Nvidia Corporation</w:t>
            </w:r>
            <w:r>
              <w:t>**</w:t>
            </w:r>
          </w:p>
        </w:tc>
        <w:tc>
          <w:tcPr>
            <w:tcW w:w="2340" w:type="dxa"/>
            <w:shd w:val="clear" w:color="auto" w:fill="auto"/>
          </w:tcPr>
          <w:p w14:paraId="499A70C8" w14:textId="3F75A384" w:rsidR="007575FE" w:rsidRPr="00E03588" w:rsidRDefault="007575FE" w:rsidP="007575FE">
            <w:pPr>
              <w:jc w:val="center"/>
            </w:pPr>
            <w:r w:rsidRPr="00970B3A">
              <w:t>NVIDIA</w:t>
            </w:r>
            <w:r>
              <w:t xml:space="preserve"> Shield TV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4E58BC9" w14:textId="0FA7F9B4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60352287" w14:textId="77777777" w:rsidTr="00B67079">
        <w:tc>
          <w:tcPr>
            <w:tcW w:w="4135" w:type="dxa"/>
            <w:shd w:val="clear" w:color="auto" w:fill="auto"/>
          </w:tcPr>
          <w:p w14:paraId="0793F45D" w14:textId="789BD8C0" w:rsidR="007575FE" w:rsidRPr="00E03588" w:rsidRDefault="007575FE" w:rsidP="007575FE">
            <w:pPr>
              <w:jc w:val="center"/>
            </w:pPr>
            <w:r w:rsidRPr="00E03588">
              <w:t>Razer Inc.</w:t>
            </w:r>
          </w:p>
        </w:tc>
        <w:tc>
          <w:tcPr>
            <w:tcW w:w="2340" w:type="dxa"/>
            <w:shd w:val="clear" w:color="auto" w:fill="auto"/>
          </w:tcPr>
          <w:p w14:paraId="52124948" w14:textId="2974AF1F" w:rsidR="007575FE" w:rsidRPr="00E03588" w:rsidRDefault="007575FE" w:rsidP="007575FE">
            <w:pPr>
              <w:jc w:val="center"/>
            </w:pPr>
            <w:r w:rsidRPr="00970B3A">
              <w:t>Razer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2924386" w14:textId="0027D4DE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024E29C3" w14:textId="77777777" w:rsidTr="00842C94">
        <w:tc>
          <w:tcPr>
            <w:tcW w:w="4135" w:type="dxa"/>
            <w:shd w:val="clear" w:color="auto" w:fill="auto"/>
          </w:tcPr>
          <w:p w14:paraId="41597BE5" w14:textId="0DD7357D" w:rsidR="007575FE" w:rsidRPr="00E03588" w:rsidRDefault="007575FE" w:rsidP="007575FE">
            <w:pPr>
              <w:jc w:val="center"/>
            </w:pPr>
            <w:proofErr w:type="spellStart"/>
            <w:r w:rsidRPr="00E03588">
              <w:t>Seura</w:t>
            </w:r>
            <w:proofErr w:type="spellEnd"/>
            <w:r w:rsidRPr="00E03588">
              <w:t>, Inc</w:t>
            </w:r>
          </w:p>
        </w:tc>
        <w:tc>
          <w:tcPr>
            <w:tcW w:w="2340" w:type="dxa"/>
            <w:shd w:val="clear" w:color="auto" w:fill="auto"/>
          </w:tcPr>
          <w:p w14:paraId="20F2EA11" w14:textId="7C6EF7F3" w:rsidR="007575FE" w:rsidRPr="00E03588" w:rsidRDefault="007575FE" w:rsidP="007575FE">
            <w:pPr>
              <w:jc w:val="center"/>
            </w:pPr>
            <w:proofErr w:type="spellStart"/>
            <w:r w:rsidRPr="00970B3A">
              <w:t>Seura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220A5AE8" w14:textId="4B1A49CD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4B2A8E57" w14:textId="77777777" w:rsidTr="00CE1D9B">
        <w:tc>
          <w:tcPr>
            <w:tcW w:w="4135" w:type="dxa"/>
            <w:shd w:val="clear" w:color="auto" w:fill="auto"/>
          </w:tcPr>
          <w:p w14:paraId="730240B1" w14:textId="142BBA14" w:rsidR="007575FE" w:rsidRPr="00E03588" w:rsidRDefault="007575FE" w:rsidP="007575FE">
            <w:pPr>
              <w:jc w:val="center"/>
            </w:pPr>
            <w:r w:rsidRPr="00E03588">
              <w:t>Skyworth USA Corporation</w:t>
            </w:r>
          </w:p>
        </w:tc>
        <w:tc>
          <w:tcPr>
            <w:tcW w:w="2340" w:type="dxa"/>
            <w:shd w:val="clear" w:color="auto" w:fill="auto"/>
          </w:tcPr>
          <w:p w14:paraId="3878C59B" w14:textId="482B0E40" w:rsidR="007575FE" w:rsidRPr="00E03588" w:rsidRDefault="007575FE" w:rsidP="007575FE">
            <w:pPr>
              <w:jc w:val="center"/>
            </w:pPr>
            <w:r w:rsidRPr="00970B3A">
              <w:t>Skyworth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C41962A" w14:textId="6C423DBD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7F6A94C7" w14:textId="77777777" w:rsidTr="00CB1FE1">
        <w:tc>
          <w:tcPr>
            <w:tcW w:w="4135" w:type="dxa"/>
            <w:shd w:val="clear" w:color="auto" w:fill="auto"/>
          </w:tcPr>
          <w:p w14:paraId="5DC20490" w14:textId="6C8E578C" w:rsidR="007575FE" w:rsidRPr="00E03588" w:rsidRDefault="007575FE" w:rsidP="007575FE">
            <w:pPr>
              <w:jc w:val="center"/>
            </w:pPr>
            <w:proofErr w:type="spellStart"/>
            <w:r w:rsidRPr="00E03588">
              <w:t>Sunbrite</w:t>
            </w:r>
            <w:proofErr w:type="spellEnd"/>
            <w:r w:rsidRPr="00E03588">
              <w:t xml:space="preserve"> TV, LLC</w:t>
            </w:r>
          </w:p>
        </w:tc>
        <w:tc>
          <w:tcPr>
            <w:tcW w:w="2340" w:type="dxa"/>
            <w:shd w:val="clear" w:color="auto" w:fill="auto"/>
          </w:tcPr>
          <w:p w14:paraId="7735FABA" w14:textId="36CE9986" w:rsidR="007575FE" w:rsidRPr="00E03588" w:rsidRDefault="007575FE" w:rsidP="007575FE">
            <w:pPr>
              <w:jc w:val="center"/>
            </w:pPr>
            <w:proofErr w:type="spellStart"/>
            <w:r w:rsidRPr="00970B3A">
              <w:t>SunBriteTV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6CE0996B" w14:textId="6E5F1595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7575FE" w14:paraId="1A8258AB" w14:textId="77777777" w:rsidTr="005D7D34">
        <w:tc>
          <w:tcPr>
            <w:tcW w:w="4135" w:type="dxa"/>
            <w:shd w:val="clear" w:color="auto" w:fill="auto"/>
          </w:tcPr>
          <w:p w14:paraId="2683A522" w14:textId="7ADD0909" w:rsidR="007575FE" w:rsidRPr="00E03588" w:rsidRDefault="007575FE" w:rsidP="007575FE">
            <w:pPr>
              <w:jc w:val="center"/>
            </w:pPr>
            <w:r w:rsidRPr="00A91149">
              <w:t>Venturer Electronics Inc</w:t>
            </w:r>
            <w:r>
              <w:t>.</w:t>
            </w:r>
          </w:p>
        </w:tc>
        <w:tc>
          <w:tcPr>
            <w:tcW w:w="2340" w:type="dxa"/>
            <w:shd w:val="clear" w:color="auto" w:fill="auto"/>
          </w:tcPr>
          <w:p w14:paraId="2362E105" w14:textId="4A454CB5" w:rsidR="007575FE" w:rsidRPr="00970B3A" w:rsidRDefault="007575FE" w:rsidP="007575FE">
            <w:pPr>
              <w:jc w:val="center"/>
            </w:pPr>
            <w:r w:rsidRPr="00A91149">
              <w:t>Venturer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5F4FBA" w14:textId="5E37B661" w:rsidR="007575FE" w:rsidRPr="00E03588" w:rsidRDefault="007575FE" w:rsidP="007575FE">
            <w:pPr>
              <w:jc w:val="center"/>
            </w:pPr>
            <w:r>
              <w:t>1/19/2022</w:t>
            </w:r>
          </w:p>
        </w:tc>
      </w:tr>
      <w:tr w:rsidR="007575FE" w14:paraId="3A04ACFC" w14:textId="77777777" w:rsidTr="009630B8">
        <w:tc>
          <w:tcPr>
            <w:tcW w:w="4135" w:type="dxa"/>
            <w:shd w:val="clear" w:color="auto" w:fill="auto"/>
          </w:tcPr>
          <w:p w14:paraId="5A5E3FC0" w14:textId="279E50BD" w:rsidR="007575FE" w:rsidRPr="00E03588" w:rsidRDefault="007575FE" w:rsidP="007575FE">
            <w:pPr>
              <w:jc w:val="center"/>
            </w:pPr>
            <w:r w:rsidRPr="000E178E">
              <w:t>ViewSonic Corporation</w:t>
            </w:r>
          </w:p>
        </w:tc>
        <w:tc>
          <w:tcPr>
            <w:tcW w:w="2340" w:type="dxa"/>
            <w:shd w:val="clear" w:color="auto" w:fill="auto"/>
          </w:tcPr>
          <w:p w14:paraId="6CC0A1FC" w14:textId="7F8C3D65" w:rsidR="007575FE" w:rsidRPr="00970B3A" w:rsidRDefault="007575FE" w:rsidP="007575FE">
            <w:pPr>
              <w:jc w:val="center"/>
            </w:pPr>
            <w:r w:rsidRPr="000E178E">
              <w:t>ViewSonic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51321CE" w14:textId="456428E3" w:rsidR="007575FE" w:rsidRPr="00E03588" w:rsidRDefault="007575FE" w:rsidP="007575FE">
            <w:pPr>
              <w:jc w:val="center"/>
            </w:pPr>
            <w:r>
              <w:t>1/19/2022*</w:t>
            </w:r>
          </w:p>
        </w:tc>
      </w:tr>
      <w:tr w:rsidR="00345A37" w14:paraId="0AE5EF03" w14:textId="77777777" w:rsidTr="00AD2667">
        <w:tc>
          <w:tcPr>
            <w:tcW w:w="4135" w:type="dxa"/>
            <w:shd w:val="clear" w:color="auto" w:fill="auto"/>
          </w:tcPr>
          <w:p w14:paraId="67C56C5B" w14:textId="4ECB1B09" w:rsidR="00345A37" w:rsidRDefault="00345A37" w:rsidP="00345A37">
            <w:pPr>
              <w:jc w:val="center"/>
            </w:pPr>
            <w:r>
              <w:t>Anker</w:t>
            </w:r>
          </w:p>
        </w:tc>
        <w:tc>
          <w:tcPr>
            <w:tcW w:w="2340" w:type="dxa"/>
            <w:shd w:val="clear" w:color="auto" w:fill="auto"/>
          </w:tcPr>
          <w:p w14:paraId="1BDABD52" w14:textId="60D8F72B" w:rsidR="00345A37" w:rsidRDefault="00345A37" w:rsidP="00345A37">
            <w:pPr>
              <w:jc w:val="center"/>
            </w:pPr>
            <w:r>
              <w:t>Anker</w:t>
            </w:r>
          </w:p>
        </w:tc>
        <w:tc>
          <w:tcPr>
            <w:tcW w:w="2875" w:type="dxa"/>
            <w:shd w:val="clear" w:color="auto" w:fill="auto"/>
          </w:tcPr>
          <w:p w14:paraId="319DB999" w14:textId="7E8F10B9" w:rsidR="00345A37" w:rsidRDefault="00345A37" w:rsidP="00345A37">
            <w:pPr>
              <w:jc w:val="center"/>
            </w:pPr>
            <w:r>
              <w:t>10/29/2021</w:t>
            </w:r>
          </w:p>
        </w:tc>
      </w:tr>
      <w:tr w:rsidR="00345A37" w14:paraId="69E26379" w14:textId="77777777" w:rsidTr="00A1102C">
        <w:tc>
          <w:tcPr>
            <w:tcW w:w="4135" w:type="dxa"/>
          </w:tcPr>
          <w:p w14:paraId="3E8E0F31" w14:textId="6834710E" w:rsidR="00345A37" w:rsidRDefault="00345A37" w:rsidP="00345A37">
            <w:pPr>
              <w:jc w:val="center"/>
            </w:pPr>
            <w:r>
              <w:t>SanDisk</w:t>
            </w:r>
          </w:p>
        </w:tc>
        <w:tc>
          <w:tcPr>
            <w:tcW w:w="2340" w:type="dxa"/>
          </w:tcPr>
          <w:p w14:paraId="6AE9A0BE" w14:textId="15E2C1C6" w:rsidR="00345A37" w:rsidRDefault="00345A37" w:rsidP="00345A37">
            <w:pPr>
              <w:jc w:val="center"/>
            </w:pPr>
            <w:r>
              <w:t>SanDisk</w:t>
            </w:r>
          </w:p>
        </w:tc>
        <w:tc>
          <w:tcPr>
            <w:tcW w:w="2875" w:type="dxa"/>
          </w:tcPr>
          <w:p w14:paraId="1FC87FFA" w14:textId="1FCE16AE" w:rsidR="00345A37" w:rsidRDefault="00345A37" w:rsidP="00345A37">
            <w:pPr>
              <w:jc w:val="center"/>
            </w:pPr>
            <w:r>
              <w:t>10/22/2021</w:t>
            </w:r>
          </w:p>
        </w:tc>
      </w:tr>
      <w:tr w:rsidR="00345A37" w14:paraId="7FFD5837" w14:textId="77777777" w:rsidTr="00A1102C">
        <w:tc>
          <w:tcPr>
            <w:tcW w:w="4135" w:type="dxa"/>
          </w:tcPr>
          <w:p w14:paraId="19601FB6" w14:textId="6D42BE3D" w:rsidR="00345A37" w:rsidRDefault="00345A37" w:rsidP="00345A37">
            <w:pPr>
              <w:jc w:val="center"/>
            </w:pPr>
            <w:proofErr w:type="spellStart"/>
            <w:r>
              <w:lastRenderedPageBreak/>
              <w:t>Zagg</w:t>
            </w:r>
            <w:proofErr w:type="spellEnd"/>
          </w:p>
        </w:tc>
        <w:tc>
          <w:tcPr>
            <w:tcW w:w="2340" w:type="dxa"/>
          </w:tcPr>
          <w:p w14:paraId="17AD3C99" w14:textId="38D6CAB4" w:rsidR="00345A37" w:rsidRDefault="00345A37" w:rsidP="00345A37">
            <w:pPr>
              <w:jc w:val="center"/>
            </w:pPr>
            <w:proofErr w:type="spellStart"/>
            <w:r>
              <w:t>Zagg</w:t>
            </w:r>
            <w:proofErr w:type="spellEnd"/>
          </w:p>
        </w:tc>
        <w:tc>
          <w:tcPr>
            <w:tcW w:w="2875" w:type="dxa"/>
          </w:tcPr>
          <w:p w14:paraId="6BFA64E3" w14:textId="5BC23FF9" w:rsidR="00345A37" w:rsidRDefault="00345A37" w:rsidP="00345A37">
            <w:pPr>
              <w:jc w:val="center"/>
            </w:pPr>
            <w:r>
              <w:t>10/22/2021</w:t>
            </w:r>
          </w:p>
        </w:tc>
      </w:tr>
      <w:tr w:rsidR="00345A37" w14:paraId="388B0D11" w14:textId="77777777" w:rsidTr="00A1102C">
        <w:tc>
          <w:tcPr>
            <w:tcW w:w="4135" w:type="dxa"/>
          </w:tcPr>
          <w:p w14:paraId="2CD8AEA3" w14:textId="786403A2" w:rsidR="00345A37" w:rsidRPr="001B5598" w:rsidRDefault="00345A37" w:rsidP="00345A37">
            <w:pPr>
              <w:jc w:val="center"/>
            </w:pPr>
            <w:r>
              <w:t>KD I</w:t>
            </w:r>
            <w:r w:rsidRPr="001B5598">
              <w:t>nteractive</w:t>
            </w:r>
          </w:p>
        </w:tc>
        <w:tc>
          <w:tcPr>
            <w:tcW w:w="2340" w:type="dxa"/>
          </w:tcPr>
          <w:p w14:paraId="0FB07770" w14:textId="7961B031" w:rsidR="00345A37" w:rsidRDefault="00345A37" w:rsidP="00345A37">
            <w:pPr>
              <w:jc w:val="center"/>
            </w:pPr>
            <w:proofErr w:type="spellStart"/>
            <w:r>
              <w:t>Kurio</w:t>
            </w:r>
            <w:proofErr w:type="spellEnd"/>
          </w:p>
        </w:tc>
        <w:tc>
          <w:tcPr>
            <w:tcW w:w="2875" w:type="dxa"/>
          </w:tcPr>
          <w:p w14:paraId="7FE2BD74" w14:textId="4CBA0619" w:rsidR="00345A37" w:rsidRDefault="00345A37" w:rsidP="00345A37">
            <w:pPr>
              <w:jc w:val="center"/>
            </w:pPr>
            <w:r>
              <w:t>1/1/2018</w:t>
            </w:r>
          </w:p>
        </w:tc>
      </w:tr>
    </w:tbl>
    <w:p w14:paraId="5690ADFA" w14:textId="529697E5" w:rsidR="00E87306" w:rsidRDefault="00E87306" w:rsidP="000347C2"/>
    <w:p w14:paraId="764DFF6F" w14:textId="294D3DF6" w:rsidR="008F1AE3" w:rsidRDefault="008F1AE3" w:rsidP="000347C2"/>
    <w:p w14:paraId="134ECAEE" w14:textId="085FB450" w:rsidR="008F1AE3" w:rsidRDefault="008F1AE3" w:rsidP="000347C2">
      <w:r>
        <w:t>*The</w:t>
      </w:r>
      <w:r w:rsidR="00055E31">
        <w:t xml:space="preserve"> registration or exemption for these companies expired on </w:t>
      </w:r>
      <w:r>
        <w:t>December 31, 2021</w:t>
      </w:r>
      <w:r w:rsidR="008E7F52">
        <w:t>. As of the date o</w:t>
      </w:r>
      <w:r w:rsidR="00055E31">
        <w:t>n</w:t>
      </w:r>
      <w:r w:rsidR="008E7F52">
        <w:t xml:space="preserve"> this list, they </w:t>
      </w:r>
      <w:r w:rsidR="00FE5EA5">
        <w:t xml:space="preserve">do not have approved registrations or a DOEE determination that they qualify for a de minimis exemption </w:t>
      </w:r>
      <w:r w:rsidR="00EA028D">
        <w:t>for the 2022 program year</w:t>
      </w:r>
      <w:r w:rsidR="006D2A64">
        <w:t xml:space="preserve">. </w:t>
      </w:r>
      <w:r w:rsidR="00594029">
        <w:t xml:space="preserve">Registrations or applications for de minimis exemptions for the 2022 </w:t>
      </w:r>
      <w:proofErr w:type="spellStart"/>
      <w:r w:rsidR="00594029">
        <w:t>eCYCLE</w:t>
      </w:r>
      <w:proofErr w:type="spellEnd"/>
      <w:r w:rsidR="00594029">
        <w:t xml:space="preserve"> DC program year were due December 31, 2021</w:t>
      </w:r>
      <w:r w:rsidR="006D2A64">
        <w:t>.</w:t>
      </w:r>
    </w:p>
    <w:p w14:paraId="5A951AD5" w14:textId="253338F1" w:rsidR="006A1B73" w:rsidRDefault="006A1B73" w:rsidP="000347C2"/>
    <w:p w14:paraId="391C4E0B" w14:textId="0BEC6A79" w:rsidR="006A1B73" w:rsidRDefault="006A1B73" w:rsidP="000347C2">
      <w:r>
        <w:t>**The payment of the registration fee is the only outstanding item for this company.</w:t>
      </w:r>
    </w:p>
    <w:p w14:paraId="076F2DA2" w14:textId="2F8CB326" w:rsidR="00E87306" w:rsidRDefault="00E87306" w:rsidP="000347C2"/>
    <w:p w14:paraId="43C185C2" w14:textId="72352BDB" w:rsidR="00723267" w:rsidRDefault="00723267" w:rsidP="000347C2"/>
    <w:p w14:paraId="7CE05C3A" w14:textId="77777777" w:rsidR="00723267" w:rsidRDefault="00723267" w:rsidP="000347C2"/>
    <w:p w14:paraId="4F366336" w14:textId="67292765" w:rsidR="00E87306" w:rsidRPr="005D25AA" w:rsidRDefault="00A1102C" w:rsidP="000347C2">
      <w:r w:rsidRPr="005D25AA">
        <w:t xml:space="preserve">Questions? Email </w:t>
      </w:r>
      <w:hyperlink r:id="rId12" w:history="1">
        <w:r w:rsidRPr="005D25AA">
          <w:rPr>
            <w:rStyle w:val="Hyperlink"/>
          </w:rPr>
          <w:t>productstewardship@dc.gov</w:t>
        </w:r>
      </w:hyperlink>
      <w:r w:rsidRPr="005D25AA">
        <w:t xml:space="preserve">. </w:t>
      </w:r>
    </w:p>
    <w:p w14:paraId="16D36299" w14:textId="7FF718BC" w:rsidR="00FB3E70" w:rsidRDefault="00FB3E70" w:rsidP="00723267">
      <w:pPr>
        <w:jc w:val="both"/>
      </w:pPr>
    </w:p>
    <w:p w14:paraId="457CEB65" w14:textId="77777777" w:rsidR="00723267" w:rsidRDefault="00723267" w:rsidP="00723267">
      <w:pPr>
        <w:jc w:val="both"/>
      </w:pPr>
    </w:p>
    <w:p w14:paraId="7E6F96E1" w14:textId="19FC399D" w:rsidR="00723267" w:rsidRDefault="00723267" w:rsidP="00723267">
      <w:pPr>
        <w:jc w:val="both"/>
      </w:pPr>
    </w:p>
    <w:p w14:paraId="5E46316F" w14:textId="5D35F377" w:rsidR="00E87306" w:rsidRPr="00E60771" w:rsidRDefault="00FB3E70" w:rsidP="00723267">
      <w:pPr>
        <w:rPr>
          <w:i/>
        </w:rPr>
      </w:pPr>
      <w:r>
        <w:rPr>
          <w:i/>
        </w:rPr>
        <w:t xml:space="preserve">Updated </w:t>
      </w:r>
      <w:r w:rsidR="00D60DAA" w:rsidRPr="00A11E2B">
        <w:rPr>
          <w:i/>
        </w:rPr>
        <w:t xml:space="preserve">January </w:t>
      </w:r>
      <w:r w:rsidR="00D270A1">
        <w:rPr>
          <w:i/>
        </w:rPr>
        <w:t>19</w:t>
      </w:r>
      <w:r w:rsidR="00D60DAA" w:rsidRPr="00A11E2B">
        <w:rPr>
          <w:i/>
        </w:rPr>
        <w:t>, 2</w:t>
      </w:r>
      <w:r w:rsidR="00D60DAA">
        <w:rPr>
          <w:i/>
        </w:rPr>
        <w:t>022</w:t>
      </w:r>
    </w:p>
    <w:sectPr w:rsidR="00E87306" w:rsidRPr="00E60771" w:rsidSect="000347C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1AD68" w14:textId="77777777" w:rsidR="00417E16" w:rsidRDefault="00417E16">
      <w:r>
        <w:separator/>
      </w:r>
    </w:p>
  </w:endnote>
  <w:endnote w:type="continuationSeparator" w:id="0">
    <w:p w14:paraId="7CE288EC" w14:textId="77777777" w:rsidR="00417E16" w:rsidRDefault="004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EBA8836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5087795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D5AC" w14:textId="77777777" w:rsidR="00042788" w:rsidRPr="0030116A" w:rsidRDefault="006C20A5" w:rsidP="00660FCA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F9BD8" wp14:editId="1F3A8AC2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4364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3E9ED6D" wp14:editId="604623DF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A2EDC41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DDB0178" wp14:editId="55D4422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B42EA" wp14:editId="2442D5F0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9FD">
      <w:rPr>
        <w:rFonts w:ascii="Century Gothic" w:hAnsi="Century Gothic"/>
        <w:sz w:val="19"/>
        <w:szCs w:val="19"/>
      </w:rPr>
      <w:t xml:space="preserve">                       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660FCA">
      <w:rPr>
        <w:rFonts w:ascii="Century Gothic" w:hAnsi="Century Gothic"/>
        <w:sz w:val="19"/>
        <w:szCs w:val="19"/>
      </w:rPr>
      <w:t xml:space="preserve"> Floor, Washington, DC 20002</w:t>
    </w:r>
    <w:proofErr w:type="gramStart"/>
    <w:r w:rsidR="00660FCA">
      <w:rPr>
        <w:rFonts w:ascii="Century Gothic" w:hAnsi="Century Gothic"/>
        <w:sz w:val="19"/>
        <w:szCs w:val="19"/>
      </w:rPr>
      <w:t>|</w:t>
    </w:r>
    <w:r w:rsidR="00D96569">
      <w:rPr>
        <w:rFonts w:ascii="Century Gothic" w:hAnsi="Century Gothic"/>
        <w:sz w:val="19"/>
        <w:szCs w:val="19"/>
      </w:rPr>
      <w:t>(</w:t>
    </w:r>
    <w:proofErr w:type="gramEnd"/>
    <w:r w:rsidR="00D96569">
      <w:rPr>
        <w:rFonts w:ascii="Century Gothic" w:hAnsi="Century Gothic"/>
        <w:sz w:val="19"/>
        <w:szCs w:val="19"/>
      </w:rPr>
      <w:t xml:space="preserve">202) </w:t>
    </w:r>
    <w:r w:rsidR="007A7583">
      <w:rPr>
        <w:rFonts w:ascii="Century Gothic" w:hAnsi="Century Gothic"/>
        <w:sz w:val="19"/>
        <w:szCs w:val="19"/>
      </w:rPr>
      <w:t>535-</w:t>
    </w:r>
    <w:r w:rsidR="00660FCA">
      <w:rPr>
        <w:rFonts w:ascii="Century Gothic" w:hAnsi="Century Gothic"/>
        <w:sz w:val="19"/>
        <w:szCs w:val="19"/>
      </w:rPr>
      <w:t>2600 |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286CEA3F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1D89" w14:textId="77777777" w:rsidR="00417E16" w:rsidRDefault="00417E16">
      <w:r>
        <w:separator/>
      </w:r>
    </w:p>
  </w:footnote>
  <w:footnote w:type="continuationSeparator" w:id="0">
    <w:p w14:paraId="57963669" w14:textId="77777777" w:rsidR="00417E16" w:rsidRDefault="004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DDE8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52A8" w14:textId="77777777" w:rsidR="00042788" w:rsidRDefault="00042788" w:rsidP="00042788">
    <w:pPr>
      <w:pStyle w:val="Header"/>
    </w:pPr>
  </w:p>
  <w:p w14:paraId="48C5BE4A" w14:textId="77777777" w:rsidR="00042788" w:rsidRDefault="00042788" w:rsidP="00042788">
    <w:pPr>
      <w:pStyle w:val="Header"/>
    </w:pPr>
  </w:p>
  <w:p w14:paraId="6521ECC1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43B26"/>
    <w:multiLevelType w:val="multilevel"/>
    <w:tmpl w:val="C1E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D446F"/>
    <w:multiLevelType w:val="hybridMultilevel"/>
    <w:tmpl w:val="AD74CAF2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418F"/>
    <w:multiLevelType w:val="hybridMultilevel"/>
    <w:tmpl w:val="2A928EC0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347C2"/>
    <w:rsid w:val="00042788"/>
    <w:rsid w:val="0005177E"/>
    <w:rsid w:val="00055E31"/>
    <w:rsid w:val="00071F3B"/>
    <w:rsid w:val="00073CC9"/>
    <w:rsid w:val="00080A20"/>
    <w:rsid w:val="000938C8"/>
    <w:rsid w:val="000A483A"/>
    <w:rsid w:val="000C53BB"/>
    <w:rsid w:val="000D49FD"/>
    <w:rsid w:val="001146D1"/>
    <w:rsid w:val="00117635"/>
    <w:rsid w:val="0013240C"/>
    <w:rsid w:val="00140B63"/>
    <w:rsid w:val="00157D06"/>
    <w:rsid w:val="00170127"/>
    <w:rsid w:val="00177B6C"/>
    <w:rsid w:val="001A2D01"/>
    <w:rsid w:val="001B098D"/>
    <w:rsid w:val="001B5598"/>
    <w:rsid w:val="001D23C3"/>
    <w:rsid w:val="001E6C7C"/>
    <w:rsid w:val="001F1E4F"/>
    <w:rsid w:val="00224BD2"/>
    <w:rsid w:val="0025051F"/>
    <w:rsid w:val="0026506E"/>
    <w:rsid w:val="00271FB2"/>
    <w:rsid w:val="002908A0"/>
    <w:rsid w:val="00296C3D"/>
    <w:rsid w:val="002B1D56"/>
    <w:rsid w:val="002B623A"/>
    <w:rsid w:val="002D0497"/>
    <w:rsid w:val="002E239A"/>
    <w:rsid w:val="002E37D1"/>
    <w:rsid w:val="0030116A"/>
    <w:rsid w:val="00322CFD"/>
    <w:rsid w:val="003234D3"/>
    <w:rsid w:val="00324A77"/>
    <w:rsid w:val="00344228"/>
    <w:rsid w:val="00345A37"/>
    <w:rsid w:val="00355520"/>
    <w:rsid w:val="003673AC"/>
    <w:rsid w:val="00367CDF"/>
    <w:rsid w:val="00377959"/>
    <w:rsid w:val="003B2CC6"/>
    <w:rsid w:val="003B7C4F"/>
    <w:rsid w:val="003E208A"/>
    <w:rsid w:val="00402942"/>
    <w:rsid w:val="00410423"/>
    <w:rsid w:val="00417E16"/>
    <w:rsid w:val="00451564"/>
    <w:rsid w:val="00462A6E"/>
    <w:rsid w:val="00475B6B"/>
    <w:rsid w:val="004A1250"/>
    <w:rsid w:val="004B6120"/>
    <w:rsid w:val="004C12C0"/>
    <w:rsid w:val="004C41B1"/>
    <w:rsid w:val="004D1054"/>
    <w:rsid w:val="004D1B50"/>
    <w:rsid w:val="004D589B"/>
    <w:rsid w:val="004E4CD9"/>
    <w:rsid w:val="004F7D23"/>
    <w:rsid w:val="00517D5A"/>
    <w:rsid w:val="0052193F"/>
    <w:rsid w:val="0052232F"/>
    <w:rsid w:val="00560425"/>
    <w:rsid w:val="00561103"/>
    <w:rsid w:val="0056640B"/>
    <w:rsid w:val="0057729C"/>
    <w:rsid w:val="00594029"/>
    <w:rsid w:val="005962E2"/>
    <w:rsid w:val="005A2EC4"/>
    <w:rsid w:val="005C1384"/>
    <w:rsid w:val="005C56C9"/>
    <w:rsid w:val="005D25AA"/>
    <w:rsid w:val="005D2B8D"/>
    <w:rsid w:val="006127B0"/>
    <w:rsid w:val="0063041C"/>
    <w:rsid w:val="006527CA"/>
    <w:rsid w:val="00653218"/>
    <w:rsid w:val="00653B53"/>
    <w:rsid w:val="00660FCA"/>
    <w:rsid w:val="00667111"/>
    <w:rsid w:val="006764AE"/>
    <w:rsid w:val="00694B0B"/>
    <w:rsid w:val="006A1B73"/>
    <w:rsid w:val="006C20A5"/>
    <w:rsid w:val="006C3F9A"/>
    <w:rsid w:val="006D1EB5"/>
    <w:rsid w:val="006D2A64"/>
    <w:rsid w:val="006F3541"/>
    <w:rsid w:val="006F666B"/>
    <w:rsid w:val="00704A88"/>
    <w:rsid w:val="00723267"/>
    <w:rsid w:val="00723B5D"/>
    <w:rsid w:val="00727ECD"/>
    <w:rsid w:val="0073637C"/>
    <w:rsid w:val="00737C82"/>
    <w:rsid w:val="007575FE"/>
    <w:rsid w:val="0076186E"/>
    <w:rsid w:val="00785ED5"/>
    <w:rsid w:val="007A6215"/>
    <w:rsid w:val="007A7583"/>
    <w:rsid w:val="007B6F40"/>
    <w:rsid w:val="007D07EE"/>
    <w:rsid w:val="007D6701"/>
    <w:rsid w:val="007F35DA"/>
    <w:rsid w:val="007F70EF"/>
    <w:rsid w:val="008200AF"/>
    <w:rsid w:val="008258F6"/>
    <w:rsid w:val="00876356"/>
    <w:rsid w:val="00880CEA"/>
    <w:rsid w:val="00882CD3"/>
    <w:rsid w:val="00884AAA"/>
    <w:rsid w:val="008B5A88"/>
    <w:rsid w:val="008B769D"/>
    <w:rsid w:val="008C7A19"/>
    <w:rsid w:val="008C7DD5"/>
    <w:rsid w:val="008D399E"/>
    <w:rsid w:val="008E037C"/>
    <w:rsid w:val="008E0BA3"/>
    <w:rsid w:val="008E7F52"/>
    <w:rsid w:val="008F1AE3"/>
    <w:rsid w:val="008F1F02"/>
    <w:rsid w:val="0090469F"/>
    <w:rsid w:val="009247DE"/>
    <w:rsid w:val="00925FE8"/>
    <w:rsid w:val="00934710"/>
    <w:rsid w:val="00956DD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A1102C"/>
    <w:rsid w:val="00A11E2B"/>
    <w:rsid w:val="00A135C9"/>
    <w:rsid w:val="00A147AA"/>
    <w:rsid w:val="00A25BF7"/>
    <w:rsid w:val="00A327F2"/>
    <w:rsid w:val="00A328B1"/>
    <w:rsid w:val="00A405D7"/>
    <w:rsid w:val="00A46B15"/>
    <w:rsid w:val="00A47251"/>
    <w:rsid w:val="00A533B7"/>
    <w:rsid w:val="00A67445"/>
    <w:rsid w:val="00A74CAD"/>
    <w:rsid w:val="00A779B6"/>
    <w:rsid w:val="00A8483C"/>
    <w:rsid w:val="00A8624D"/>
    <w:rsid w:val="00A91149"/>
    <w:rsid w:val="00A93424"/>
    <w:rsid w:val="00A94AA8"/>
    <w:rsid w:val="00AB1F9A"/>
    <w:rsid w:val="00AC069B"/>
    <w:rsid w:val="00AC4452"/>
    <w:rsid w:val="00AD0ADA"/>
    <w:rsid w:val="00AD226E"/>
    <w:rsid w:val="00AD261D"/>
    <w:rsid w:val="00AD2667"/>
    <w:rsid w:val="00AD6C15"/>
    <w:rsid w:val="00AD7544"/>
    <w:rsid w:val="00AF0228"/>
    <w:rsid w:val="00AF0834"/>
    <w:rsid w:val="00AF1F64"/>
    <w:rsid w:val="00B12FFC"/>
    <w:rsid w:val="00B26DCC"/>
    <w:rsid w:val="00B331FC"/>
    <w:rsid w:val="00B570F1"/>
    <w:rsid w:val="00B576E1"/>
    <w:rsid w:val="00B57DAE"/>
    <w:rsid w:val="00B86E37"/>
    <w:rsid w:val="00B87ED0"/>
    <w:rsid w:val="00B93EFF"/>
    <w:rsid w:val="00BC0E5D"/>
    <w:rsid w:val="00BC1676"/>
    <w:rsid w:val="00BC1BA6"/>
    <w:rsid w:val="00BD5E57"/>
    <w:rsid w:val="00BE46C8"/>
    <w:rsid w:val="00BF45D3"/>
    <w:rsid w:val="00C00FF9"/>
    <w:rsid w:val="00C02615"/>
    <w:rsid w:val="00C0764F"/>
    <w:rsid w:val="00C17239"/>
    <w:rsid w:val="00C227B4"/>
    <w:rsid w:val="00C262C0"/>
    <w:rsid w:val="00C315C3"/>
    <w:rsid w:val="00C44E7C"/>
    <w:rsid w:val="00C52922"/>
    <w:rsid w:val="00C55697"/>
    <w:rsid w:val="00C60895"/>
    <w:rsid w:val="00CC77E5"/>
    <w:rsid w:val="00CE5B65"/>
    <w:rsid w:val="00D036D9"/>
    <w:rsid w:val="00D20219"/>
    <w:rsid w:val="00D2529D"/>
    <w:rsid w:val="00D270A1"/>
    <w:rsid w:val="00D33BFC"/>
    <w:rsid w:val="00D40D15"/>
    <w:rsid w:val="00D40F43"/>
    <w:rsid w:val="00D444D6"/>
    <w:rsid w:val="00D60DAA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16F0"/>
    <w:rsid w:val="00DC5687"/>
    <w:rsid w:val="00DD03A9"/>
    <w:rsid w:val="00DD72E6"/>
    <w:rsid w:val="00DF7DBC"/>
    <w:rsid w:val="00E009FC"/>
    <w:rsid w:val="00E20183"/>
    <w:rsid w:val="00E54043"/>
    <w:rsid w:val="00E54C82"/>
    <w:rsid w:val="00E60771"/>
    <w:rsid w:val="00E727DF"/>
    <w:rsid w:val="00E75909"/>
    <w:rsid w:val="00E87306"/>
    <w:rsid w:val="00E92CC7"/>
    <w:rsid w:val="00EA028D"/>
    <w:rsid w:val="00EA4DF0"/>
    <w:rsid w:val="00EB3BAA"/>
    <w:rsid w:val="00EE3BEE"/>
    <w:rsid w:val="00F0380E"/>
    <w:rsid w:val="00F151E6"/>
    <w:rsid w:val="00F205C0"/>
    <w:rsid w:val="00F251EB"/>
    <w:rsid w:val="00F25872"/>
    <w:rsid w:val="00F42753"/>
    <w:rsid w:val="00F44821"/>
    <w:rsid w:val="00F65171"/>
    <w:rsid w:val="00F91546"/>
    <w:rsid w:val="00FA350A"/>
    <w:rsid w:val="00FB3E70"/>
    <w:rsid w:val="00FB75F5"/>
    <w:rsid w:val="00FC560F"/>
    <w:rsid w:val="00FC5C40"/>
    <w:rsid w:val="00FC7034"/>
    <w:rsid w:val="00FD6763"/>
    <w:rsid w:val="00FE5EA5"/>
    <w:rsid w:val="00FF4CEA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3792002"/>
  <w15:docId w15:val="{9BAA59CF-B8BE-40B6-A7CF-DB13703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3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1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10423"/>
    <w:rPr>
      <w:color w:val="800080" w:themeColor="followedHyperlink"/>
      <w:u w:val="single"/>
    </w:rPr>
  </w:style>
  <w:style w:type="character" w:customStyle="1" w:styleId="level-num">
    <w:name w:val="level-num"/>
    <w:basedOn w:val="DefaultParagraphFont"/>
    <w:rsid w:val="00D20219"/>
  </w:style>
  <w:style w:type="paragraph" w:styleId="Revision">
    <w:name w:val="Revision"/>
    <w:hidden/>
    <w:uiPriority w:val="99"/>
    <w:semiHidden/>
    <w:rsid w:val="00344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ctstewardship@dc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e.dc.gov/node/12395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ee.dc.gov/node/1239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e.dc.gov/sites/default/files/dc/sites/ddoe/service_content/attachments/eCYCLE%20DC%20Definitions%20Fact%20Sheet-updated%2010.22.21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910-14B4-446F-824A-3A1E7BA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1</TotalTime>
  <Pages>2</Pages>
  <Words>297</Words>
  <Characters>2115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eCYCLE DC List of Nonregisted Manufacturers</vt:lpstr>
    </vt:vector>
  </TitlesOfParts>
  <Company>ddoe</Company>
  <LinksUpToDate>false</LinksUpToDate>
  <CharactersWithSpaces>2390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eCYCLE DC List of Nonregisted Manufacturers</dc:title>
  <dc:creator>Morcos, Joseph (DDOE)</dc:creator>
  <cp:lastModifiedBy>Dickman, Jen (DOEE)</cp:lastModifiedBy>
  <cp:revision>2</cp:revision>
  <cp:lastPrinted>2015-08-10T17:45:00Z</cp:lastPrinted>
  <dcterms:created xsi:type="dcterms:W3CDTF">2022-01-20T02:25:00Z</dcterms:created>
  <dcterms:modified xsi:type="dcterms:W3CDTF">2022-01-20T02:25:00Z</dcterms:modified>
</cp:coreProperties>
</file>