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014" w:rsidRDefault="00520014" w:rsidP="00520014">
      <w:pPr>
        <w:jc w:val="center"/>
        <w:rPr>
          <w:rFonts w:eastAsia="Calibri" w:cs="Times New Roman"/>
          <w:b/>
          <w:szCs w:val="24"/>
          <w:u w:val="single"/>
        </w:rPr>
      </w:pPr>
      <w:r w:rsidRPr="000242F0">
        <w:rPr>
          <w:rFonts w:eastAsia="Calibri" w:cs="Times New Roman"/>
          <w:b/>
          <w:szCs w:val="24"/>
          <w:u w:val="single"/>
        </w:rPr>
        <w:t xml:space="preserve">Certification </w:t>
      </w:r>
      <w:r>
        <w:rPr>
          <w:rFonts w:eastAsia="Calibri" w:cs="Times New Roman"/>
          <w:b/>
          <w:szCs w:val="24"/>
          <w:u w:val="single"/>
        </w:rPr>
        <w:t>that District of Columbia’s</w:t>
      </w:r>
      <w:r w:rsidRPr="000242F0">
        <w:rPr>
          <w:rFonts w:eastAsia="Calibri" w:cs="Times New Roman"/>
          <w:b/>
          <w:szCs w:val="24"/>
          <w:u w:val="single"/>
        </w:rPr>
        <w:t xml:space="preserve"> Existing </w:t>
      </w:r>
      <w:r>
        <w:rPr>
          <w:rFonts w:eastAsia="Calibri" w:cs="Times New Roman"/>
          <w:b/>
          <w:szCs w:val="24"/>
          <w:u w:val="single"/>
        </w:rPr>
        <w:t xml:space="preserve">Emissions Statement Addresses the </w:t>
      </w:r>
      <w:r w:rsidR="00EC1627">
        <w:rPr>
          <w:rFonts w:eastAsia="Calibri" w:cs="Times New Roman"/>
          <w:b/>
          <w:szCs w:val="24"/>
          <w:u w:val="single"/>
        </w:rPr>
        <w:t>2015</w:t>
      </w:r>
      <w:r>
        <w:rPr>
          <w:rFonts w:eastAsia="Calibri" w:cs="Times New Roman"/>
          <w:b/>
          <w:szCs w:val="24"/>
          <w:u w:val="single"/>
        </w:rPr>
        <w:t xml:space="preserve"> Ozone NAAQS SIP Requirement</w:t>
      </w:r>
      <w:r w:rsidR="00F45262">
        <w:rPr>
          <w:rFonts w:eastAsia="Calibri" w:cs="Times New Roman"/>
          <w:b/>
          <w:szCs w:val="24"/>
          <w:u w:val="single"/>
        </w:rPr>
        <w:t>s</w:t>
      </w:r>
    </w:p>
    <w:p w:rsidR="00520014" w:rsidRDefault="00520014" w:rsidP="00520014">
      <w:pPr>
        <w:jc w:val="center"/>
        <w:rPr>
          <w:rFonts w:eastAsia="Calibri" w:cs="Times New Roman"/>
          <w:b/>
          <w:szCs w:val="24"/>
          <w:u w:val="single"/>
        </w:rPr>
      </w:pPr>
    </w:p>
    <w:p w:rsidR="00520014" w:rsidRDefault="00520014" w:rsidP="00520014">
      <w:pPr>
        <w:rPr>
          <w:rFonts w:cs="Times New Roman"/>
          <w:szCs w:val="24"/>
        </w:rPr>
      </w:pPr>
      <w:r>
        <w:rPr>
          <w:rFonts w:eastAsia="Calibri" w:cs="Times New Roman"/>
          <w:szCs w:val="24"/>
        </w:rPr>
        <w:t xml:space="preserve">The District of Columbia is </w:t>
      </w:r>
      <w:r>
        <w:rPr>
          <w:rFonts w:cs="Times New Roman"/>
          <w:szCs w:val="24"/>
        </w:rPr>
        <w:t xml:space="preserve">certifying that our existing Emissions Statement, covering the Washington, DC-MD-VA nonattainment area for the </w:t>
      </w:r>
      <w:r w:rsidR="00EC1627">
        <w:rPr>
          <w:rFonts w:cs="Times New Roman"/>
          <w:szCs w:val="24"/>
        </w:rPr>
        <w:t>2015</w:t>
      </w:r>
      <w:r>
        <w:rPr>
          <w:rFonts w:cs="Times New Roman"/>
          <w:szCs w:val="24"/>
        </w:rPr>
        <w:t xml:space="preserve"> ozone NAAQS, is at least as stringent as the requirements under Section 182(a)(3)(B) of the Clean Air Act</w:t>
      </w:r>
      <w:r w:rsidRPr="00E518F5">
        <w:rPr>
          <w:rFonts w:cs="Times New Roman"/>
          <w:szCs w:val="24"/>
        </w:rPr>
        <w:t>.</w:t>
      </w:r>
    </w:p>
    <w:p w:rsidR="00520014" w:rsidRDefault="00520014" w:rsidP="00520014">
      <w:pPr>
        <w:rPr>
          <w:rFonts w:cs="Times New Roman"/>
          <w:szCs w:val="24"/>
        </w:rPr>
      </w:pPr>
    </w:p>
    <w:p w:rsidR="00520014" w:rsidRDefault="00520014" w:rsidP="00520014">
      <w:pPr>
        <w:rPr>
          <w:rFonts w:cs="Times New Roman"/>
          <w:szCs w:val="24"/>
        </w:rPr>
      </w:pPr>
      <w:r>
        <w:rPr>
          <w:rFonts w:cs="Times New Roman"/>
          <w:szCs w:val="24"/>
        </w:rPr>
        <w:t xml:space="preserve">The requirements necessary to appropriately implement the District of Columbia’s Emissions Statement program include, but are not limited to the following:   </w:t>
      </w:r>
    </w:p>
    <w:p w:rsidR="00520014" w:rsidRDefault="00520014" w:rsidP="00520014">
      <w:pPr>
        <w:rPr>
          <w:rFonts w:cs="Times New Roman"/>
          <w:szCs w:val="24"/>
        </w:rPr>
      </w:pPr>
    </w:p>
    <w:tbl>
      <w:tblPr>
        <w:tblStyle w:val="TableGrid"/>
        <w:tblpPr w:leftFromText="180" w:rightFromText="180" w:vertAnchor="text" w:horzAnchor="page" w:tblpX="1328" w:tblpY="256"/>
        <w:tblW w:w="9976" w:type="dxa"/>
        <w:tblLayout w:type="fixed"/>
        <w:tblCellMar>
          <w:left w:w="115" w:type="dxa"/>
          <w:right w:w="115" w:type="dxa"/>
        </w:tblCellMar>
        <w:tblLook w:val="04A0" w:firstRow="1" w:lastRow="0" w:firstColumn="1" w:lastColumn="0" w:noHBand="0" w:noVBand="1"/>
      </w:tblPr>
      <w:tblGrid>
        <w:gridCol w:w="4435"/>
        <w:gridCol w:w="5541"/>
      </w:tblGrid>
      <w:tr w:rsidR="00EE465F" w:rsidTr="00332B51">
        <w:tc>
          <w:tcPr>
            <w:tcW w:w="9976" w:type="dxa"/>
            <w:gridSpan w:val="2"/>
          </w:tcPr>
          <w:p w:rsidR="00EE465F" w:rsidRDefault="00EE465F" w:rsidP="00332B51">
            <w:pPr>
              <w:rPr>
                <w:rFonts w:cs="Times New Roman"/>
                <w:szCs w:val="24"/>
              </w:rPr>
            </w:pPr>
            <w:r w:rsidRPr="00EE465F">
              <w:rPr>
                <w:rFonts w:cs="Times New Roman"/>
                <w:szCs w:val="24"/>
              </w:rPr>
              <w:t xml:space="preserve">Table: </w:t>
            </w:r>
            <w:r w:rsidR="00EC1627">
              <w:rPr>
                <w:rFonts w:cs="Times New Roman"/>
                <w:szCs w:val="24"/>
              </w:rPr>
              <w:t>2015</w:t>
            </w:r>
            <w:r w:rsidRPr="00EE465F">
              <w:rPr>
                <w:rFonts w:cs="Times New Roman"/>
                <w:szCs w:val="24"/>
              </w:rPr>
              <w:t xml:space="preserve"> Ozone NAAQS Emission Statement SIP Certification</w:t>
            </w:r>
          </w:p>
        </w:tc>
      </w:tr>
      <w:tr w:rsidR="00EE465F" w:rsidTr="00EC1627">
        <w:tc>
          <w:tcPr>
            <w:tcW w:w="4435" w:type="dxa"/>
            <w:tcBorders>
              <w:bottom w:val="single" w:sz="4" w:space="0" w:color="auto"/>
            </w:tcBorders>
            <w:shd w:val="clear" w:color="auto" w:fill="B6DDE8" w:themeFill="accent5" w:themeFillTint="66"/>
            <w:vAlign w:val="center"/>
          </w:tcPr>
          <w:p w:rsidR="00EE465F" w:rsidRPr="00EE465F" w:rsidRDefault="00EE465F" w:rsidP="00332B51">
            <w:pPr>
              <w:rPr>
                <w:rFonts w:cs="Times New Roman"/>
                <w:szCs w:val="24"/>
              </w:rPr>
            </w:pPr>
            <w:r w:rsidRPr="00EE465F">
              <w:rPr>
                <w:rFonts w:cs="Times New Roman"/>
                <w:bCs/>
                <w:szCs w:val="24"/>
              </w:rPr>
              <w:t>Clean Air Act Section 182(a)(3)(B)</w:t>
            </w:r>
          </w:p>
        </w:tc>
        <w:tc>
          <w:tcPr>
            <w:tcW w:w="5541" w:type="dxa"/>
            <w:shd w:val="clear" w:color="auto" w:fill="B6DDE8" w:themeFill="accent5" w:themeFillTint="66"/>
            <w:vAlign w:val="center"/>
          </w:tcPr>
          <w:p w:rsidR="00EE465F" w:rsidRPr="00EE465F" w:rsidRDefault="00EE465F" w:rsidP="00332B51">
            <w:pPr>
              <w:rPr>
                <w:rFonts w:cs="Times New Roman"/>
                <w:szCs w:val="24"/>
              </w:rPr>
            </w:pPr>
            <w:r w:rsidRPr="00EE465F">
              <w:rPr>
                <w:rFonts w:cs="Times New Roman"/>
                <w:bCs/>
                <w:szCs w:val="24"/>
              </w:rPr>
              <w:t>20 DCMR Citations and Other Explanations</w:t>
            </w:r>
          </w:p>
        </w:tc>
      </w:tr>
      <w:tr w:rsidR="00332B51" w:rsidTr="00EC1627">
        <w:tc>
          <w:tcPr>
            <w:tcW w:w="4435" w:type="dxa"/>
            <w:tcBorders>
              <w:top w:val="single" w:sz="4" w:space="0" w:color="auto"/>
              <w:left w:val="single" w:sz="4" w:space="0" w:color="auto"/>
              <w:bottom w:val="nil"/>
              <w:right w:val="single" w:sz="4" w:space="0" w:color="auto"/>
            </w:tcBorders>
          </w:tcPr>
          <w:p w:rsidR="00332B51" w:rsidRPr="00EE465F" w:rsidRDefault="00332B51" w:rsidP="00332B51">
            <w:pPr>
              <w:spacing w:before="105" w:after="45"/>
              <w:ind w:left="480" w:hanging="240"/>
              <w:rPr>
                <w:rFonts w:cs="Times New Roman"/>
                <w:bCs/>
                <w:sz w:val="22"/>
              </w:rPr>
            </w:pPr>
            <w:r w:rsidRPr="00EE465F">
              <w:rPr>
                <w:rFonts w:cs="Times New Roman"/>
                <w:bCs/>
                <w:sz w:val="22"/>
              </w:rPr>
              <w:t>(a) Marginal Areas</w:t>
            </w:r>
          </w:p>
          <w:p w:rsidR="00332B51" w:rsidRPr="00EE465F" w:rsidRDefault="00332B51" w:rsidP="00332B51">
            <w:pPr>
              <w:ind w:left="240" w:firstLine="240"/>
              <w:rPr>
                <w:rFonts w:cs="Times New Roman"/>
                <w:sz w:val="22"/>
              </w:rPr>
            </w:pPr>
            <w:r w:rsidRPr="00EE465F">
              <w:rPr>
                <w:rFonts w:cs="Times New Roman"/>
                <w:sz w:val="22"/>
              </w:rPr>
              <w:t>Each State in which all or part of a Marginal Area is located shall, with respect to the Marginal Area (or portion thereof, to the extent specified in this subsection), submit to the Administrator the State implementation plan revisions (including the plan items) described under this subsection except to the extent the State has made such submissions as of November 15, 1990.</w:t>
            </w:r>
          </w:p>
          <w:p w:rsidR="00332B51" w:rsidRPr="00EE465F" w:rsidRDefault="00332B51" w:rsidP="00332B51">
            <w:pPr>
              <w:ind w:left="240" w:firstLine="240"/>
              <w:rPr>
                <w:rFonts w:cs="Times New Roman"/>
                <w:sz w:val="22"/>
              </w:rPr>
            </w:pPr>
            <w:r w:rsidRPr="00EE465F">
              <w:rPr>
                <w:rFonts w:cs="Times New Roman"/>
                <w:sz w:val="22"/>
              </w:rPr>
              <w:t xml:space="preserve">. . . </w:t>
            </w:r>
          </w:p>
          <w:p w:rsidR="00332B51" w:rsidRPr="00EE465F" w:rsidRDefault="00332B51" w:rsidP="00332B51">
            <w:pPr>
              <w:shd w:val="clear" w:color="auto" w:fill="FFFFFF"/>
              <w:spacing w:before="105" w:after="45"/>
              <w:ind w:left="720" w:hanging="480"/>
              <w:outlineLvl w:val="3"/>
              <w:rPr>
                <w:rFonts w:eastAsia="Times New Roman" w:cs="Times New Roman"/>
                <w:bCs/>
                <w:smallCaps/>
                <w:sz w:val="22"/>
              </w:rPr>
            </w:pPr>
            <w:r w:rsidRPr="00EE465F">
              <w:rPr>
                <w:rFonts w:eastAsia="Times New Roman" w:cs="Times New Roman"/>
                <w:bCs/>
                <w:smallCaps/>
                <w:sz w:val="22"/>
              </w:rPr>
              <w:t>(3) Periodic inventory</w:t>
            </w:r>
          </w:p>
          <w:p w:rsidR="00332B51" w:rsidRPr="00EE465F" w:rsidRDefault="00332B51" w:rsidP="00332B51">
            <w:pPr>
              <w:spacing w:before="105" w:after="45"/>
              <w:ind w:left="720" w:hanging="240"/>
              <w:outlineLvl w:val="3"/>
              <w:rPr>
                <w:rFonts w:eastAsia="Times New Roman" w:cs="Times New Roman"/>
                <w:bCs/>
                <w:smallCaps/>
                <w:sz w:val="22"/>
              </w:rPr>
            </w:pPr>
            <w:r w:rsidRPr="00EE465F">
              <w:rPr>
                <w:rFonts w:eastAsia="Times New Roman" w:cs="Times New Roman"/>
                <w:bCs/>
                <w:smallCaps/>
                <w:sz w:val="22"/>
              </w:rPr>
              <w:t>(A) General requirement</w:t>
            </w:r>
          </w:p>
          <w:p w:rsidR="00332B51" w:rsidRPr="00EE465F" w:rsidRDefault="00332B51" w:rsidP="00332B51">
            <w:pPr>
              <w:rPr>
                <w:rFonts w:cs="Times New Roman"/>
                <w:szCs w:val="24"/>
              </w:rPr>
            </w:pPr>
            <w:r w:rsidRPr="00EE465F">
              <w:rPr>
                <w:rFonts w:cs="Times New Roman"/>
                <w:sz w:val="22"/>
              </w:rPr>
              <w:t xml:space="preserve">No later than the end of each 3-year period after submission of the inventory under paragraph (1) until the area is </w:t>
            </w:r>
            <w:proofErr w:type="spellStart"/>
            <w:r w:rsidRPr="00EE465F">
              <w:rPr>
                <w:rFonts w:cs="Times New Roman"/>
                <w:sz w:val="22"/>
              </w:rPr>
              <w:t>redesignated</w:t>
            </w:r>
            <w:proofErr w:type="spellEnd"/>
            <w:r w:rsidRPr="00EE465F">
              <w:rPr>
                <w:rFonts w:cs="Times New Roman"/>
                <w:sz w:val="22"/>
              </w:rPr>
              <w:t xml:space="preserve"> to attainment, the State shall submit a revised inventory meeting the requirements of subsection (a)(1) of this section.</w:t>
            </w:r>
          </w:p>
        </w:tc>
        <w:tc>
          <w:tcPr>
            <w:tcW w:w="5541" w:type="dxa"/>
            <w:vMerge w:val="restart"/>
            <w:tcBorders>
              <w:left w:val="single" w:sz="4" w:space="0" w:color="auto"/>
            </w:tcBorders>
          </w:tcPr>
          <w:p w:rsidR="00332B51" w:rsidRPr="00EE465F" w:rsidRDefault="00332B51" w:rsidP="00332B51">
            <w:pPr>
              <w:rPr>
                <w:rFonts w:cs="Times New Roman"/>
                <w:bCs/>
                <w:sz w:val="22"/>
              </w:rPr>
            </w:pPr>
            <w:r w:rsidRPr="00EE465F">
              <w:rPr>
                <w:rFonts w:cs="Times New Roman"/>
                <w:bCs/>
                <w:sz w:val="22"/>
              </w:rPr>
              <w:t>500.9</w:t>
            </w:r>
            <w:r w:rsidRPr="00EE465F">
              <w:rPr>
                <w:rFonts w:cs="Times New Roman"/>
                <w:bCs/>
                <w:sz w:val="22"/>
              </w:rPr>
              <w:tab/>
              <w:t>The owner or operator of a stationary source which emits twenty-five (25) tons or more per year of oxides of nitrogen or volatile organic compounds shall submit to the Mayor a statement showing the actual emissions of oxides of nitrogen and volatile organic compounds from that source. The first emission statement shall be submitted no later than April 15, 1993, for the previous calendar year, with subsequent emission statements submitted at least every year thereafter. The emission statement shall contain, at a minimum, the following information:</w:t>
            </w:r>
          </w:p>
          <w:p w:rsidR="00332B51" w:rsidRPr="00EE465F" w:rsidRDefault="00332B51" w:rsidP="00332B51">
            <w:pPr>
              <w:rPr>
                <w:rFonts w:cs="Times New Roman"/>
                <w:bCs/>
                <w:sz w:val="22"/>
              </w:rPr>
            </w:pPr>
          </w:p>
          <w:p w:rsidR="00332B51" w:rsidRPr="00EE465F" w:rsidRDefault="00332B51" w:rsidP="00332B51">
            <w:pPr>
              <w:rPr>
                <w:rFonts w:cs="Times New Roman"/>
                <w:szCs w:val="24"/>
              </w:rPr>
            </w:pPr>
            <w:r w:rsidRPr="00EE465F">
              <w:rPr>
                <w:rFonts w:cs="Times New Roman"/>
                <w:bCs/>
                <w:sz w:val="22"/>
              </w:rPr>
              <w:t>(a)</w:t>
            </w:r>
            <w:r w:rsidRPr="00EE465F">
              <w:rPr>
                <w:rFonts w:cs="Times New Roman"/>
                <w:bCs/>
                <w:sz w:val="22"/>
              </w:rPr>
              <w:tab/>
              <w:t>Certification that the information contained in the statement is accurate to the best knowledge of the individual certifying the statement. The certification shall include the full name, title, signature, date of signature, and the telephone number of the certifying individual;</w:t>
            </w:r>
          </w:p>
          <w:p w:rsidR="00332B51" w:rsidRPr="00EE465F" w:rsidRDefault="00332B51" w:rsidP="00332B51">
            <w:pPr>
              <w:ind w:left="408" w:hanging="408"/>
              <w:rPr>
                <w:rFonts w:cs="Times New Roman"/>
                <w:bCs/>
                <w:sz w:val="22"/>
              </w:rPr>
            </w:pPr>
            <w:r w:rsidRPr="00EE465F">
              <w:rPr>
                <w:rFonts w:cs="Times New Roman"/>
                <w:bCs/>
                <w:sz w:val="22"/>
              </w:rPr>
              <w:t>(b)</w:t>
            </w:r>
            <w:r w:rsidRPr="00EE465F">
              <w:rPr>
                <w:rFonts w:cs="Times New Roman"/>
                <w:bCs/>
                <w:sz w:val="22"/>
              </w:rPr>
              <w:tab/>
              <w:t>Source identification information:</w:t>
            </w:r>
          </w:p>
          <w:p w:rsidR="00332B51" w:rsidRPr="00EE465F" w:rsidRDefault="00332B51" w:rsidP="00332B51">
            <w:pPr>
              <w:rPr>
                <w:rFonts w:cs="Times New Roman"/>
                <w:bCs/>
                <w:sz w:val="22"/>
              </w:rPr>
            </w:pPr>
          </w:p>
          <w:p w:rsidR="00332B51" w:rsidRPr="00EE465F" w:rsidRDefault="00332B51" w:rsidP="00332B51">
            <w:pPr>
              <w:ind w:left="764" w:hanging="360"/>
              <w:rPr>
                <w:rFonts w:cs="Times New Roman"/>
                <w:bCs/>
                <w:sz w:val="22"/>
              </w:rPr>
            </w:pPr>
            <w:r w:rsidRPr="00EE465F">
              <w:rPr>
                <w:rFonts w:cs="Times New Roman"/>
                <w:bCs/>
                <w:sz w:val="22"/>
              </w:rPr>
              <w:t>(1)</w:t>
            </w:r>
            <w:r w:rsidRPr="00EE465F">
              <w:rPr>
                <w:rFonts w:cs="Times New Roman"/>
                <w:bCs/>
                <w:sz w:val="22"/>
              </w:rPr>
              <w:tab/>
              <w:t>Full name, physical location, and mailing address of the facility;</w:t>
            </w:r>
          </w:p>
          <w:p w:rsidR="00332B51" w:rsidRPr="00EE465F" w:rsidRDefault="00332B51" w:rsidP="00332B51">
            <w:pPr>
              <w:ind w:left="764" w:hanging="360"/>
              <w:rPr>
                <w:rFonts w:cs="Times New Roman"/>
                <w:bCs/>
                <w:sz w:val="22"/>
              </w:rPr>
            </w:pPr>
          </w:p>
          <w:p w:rsidR="00332B51" w:rsidRPr="00EE465F" w:rsidRDefault="00332B51" w:rsidP="00332B51">
            <w:pPr>
              <w:ind w:left="764" w:hanging="360"/>
              <w:rPr>
                <w:rFonts w:cs="Times New Roman"/>
                <w:bCs/>
                <w:sz w:val="22"/>
              </w:rPr>
            </w:pPr>
            <w:r w:rsidRPr="00EE465F">
              <w:rPr>
                <w:rFonts w:cs="Times New Roman"/>
                <w:bCs/>
                <w:sz w:val="22"/>
              </w:rPr>
              <w:t>(2)</w:t>
            </w:r>
            <w:r w:rsidRPr="00EE465F">
              <w:rPr>
                <w:rFonts w:cs="Times New Roman"/>
                <w:bCs/>
                <w:sz w:val="22"/>
              </w:rPr>
              <w:tab/>
              <w:t>Latitude and longitude; and</w:t>
            </w:r>
          </w:p>
          <w:p w:rsidR="00332B51" w:rsidRPr="00EE465F" w:rsidRDefault="00332B51" w:rsidP="00332B51">
            <w:pPr>
              <w:ind w:left="764" w:hanging="360"/>
              <w:rPr>
                <w:rFonts w:cs="Times New Roman"/>
                <w:bCs/>
                <w:sz w:val="22"/>
              </w:rPr>
            </w:pPr>
          </w:p>
          <w:p w:rsidR="00332B51" w:rsidRPr="00EE465F" w:rsidRDefault="00332B51" w:rsidP="00332B51">
            <w:pPr>
              <w:ind w:left="764" w:hanging="360"/>
              <w:rPr>
                <w:rFonts w:cs="Times New Roman"/>
                <w:bCs/>
                <w:sz w:val="22"/>
              </w:rPr>
            </w:pPr>
            <w:r w:rsidRPr="00EE465F">
              <w:rPr>
                <w:rFonts w:cs="Times New Roman"/>
                <w:bCs/>
                <w:sz w:val="22"/>
              </w:rPr>
              <w:t>(3)</w:t>
            </w:r>
            <w:r w:rsidRPr="00EE465F">
              <w:rPr>
                <w:rFonts w:cs="Times New Roman"/>
                <w:bCs/>
                <w:sz w:val="22"/>
              </w:rPr>
              <w:tab/>
              <w:t>Standard Industrial Classification code(s);</w:t>
            </w:r>
          </w:p>
          <w:p w:rsidR="00332B51" w:rsidRPr="00EE465F" w:rsidRDefault="00332B51" w:rsidP="00332B51">
            <w:pPr>
              <w:rPr>
                <w:rFonts w:cs="Times New Roman"/>
                <w:bCs/>
                <w:sz w:val="22"/>
              </w:rPr>
            </w:pPr>
          </w:p>
          <w:p w:rsidR="00332B51" w:rsidRPr="00EE465F" w:rsidRDefault="00332B51" w:rsidP="00332B51">
            <w:pPr>
              <w:ind w:left="413" w:hanging="413"/>
              <w:rPr>
                <w:rFonts w:cs="Times New Roman"/>
                <w:bCs/>
                <w:sz w:val="22"/>
              </w:rPr>
            </w:pPr>
            <w:r w:rsidRPr="00EE465F">
              <w:rPr>
                <w:rFonts w:cs="Times New Roman"/>
                <w:bCs/>
                <w:sz w:val="22"/>
              </w:rPr>
              <w:t>(c)</w:t>
            </w:r>
            <w:r w:rsidRPr="00EE465F">
              <w:rPr>
                <w:rFonts w:cs="Times New Roman"/>
                <w:bCs/>
                <w:sz w:val="22"/>
              </w:rPr>
              <w:tab/>
              <w:t>Operating information:</w:t>
            </w:r>
          </w:p>
          <w:p w:rsidR="00332B51" w:rsidRPr="00EE465F" w:rsidRDefault="00332B51" w:rsidP="00332B51">
            <w:pPr>
              <w:rPr>
                <w:rFonts w:cs="Times New Roman"/>
                <w:bCs/>
                <w:sz w:val="22"/>
              </w:rPr>
            </w:pPr>
          </w:p>
          <w:p w:rsidR="00332B51" w:rsidRPr="00EE465F" w:rsidRDefault="00332B51" w:rsidP="00332B51">
            <w:pPr>
              <w:ind w:left="773" w:hanging="360"/>
              <w:rPr>
                <w:rFonts w:cs="Times New Roman"/>
                <w:bCs/>
                <w:sz w:val="22"/>
              </w:rPr>
            </w:pPr>
            <w:r w:rsidRPr="00EE465F">
              <w:rPr>
                <w:rFonts w:cs="Times New Roman"/>
                <w:bCs/>
                <w:sz w:val="22"/>
              </w:rPr>
              <w:t>(1)</w:t>
            </w:r>
            <w:r w:rsidRPr="00EE465F">
              <w:rPr>
                <w:rFonts w:cs="Times New Roman"/>
                <w:bCs/>
                <w:sz w:val="22"/>
              </w:rPr>
              <w:tab/>
              <w:t>Percentage annual throughput by season;</w:t>
            </w:r>
          </w:p>
          <w:p w:rsidR="00332B51" w:rsidRPr="00EE465F" w:rsidRDefault="00332B51" w:rsidP="00332B51">
            <w:pPr>
              <w:ind w:left="773" w:hanging="360"/>
              <w:rPr>
                <w:rFonts w:cs="Times New Roman"/>
                <w:bCs/>
                <w:sz w:val="22"/>
              </w:rPr>
            </w:pPr>
          </w:p>
          <w:p w:rsidR="00332B51" w:rsidRPr="00EE465F" w:rsidRDefault="00332B51" w:rsidP="00332B51">
            <w:pPr>
              <w:ind w:left="773" w:hanging="360"/>
              <w:rPr>
                <w:rFonts w:cs="Times New Roman"/>
                <w:bCs/>
                <w:sz w:val="22"/>
              </w:rPr>
            </w:pPr>
            <w:r w:rsidRPr="00EE465F">
              <w:rPr>
                <w:rFonts w:cs="Times New Roman"/>
                <w:bCs/>
                <w:sz w:val="22"/>
              </w:rPr>
              <w:t>(2)</w:t>
            </w:r>
            <w:r w:rsidRPr="00EE465F">
              <w:rPr>
                <w:rFonts w:cs="Times New Roman"/>
                <w:bCs/>
                <w:sz w:val="22"/>
              </w:rPr>
              <w:tab/>
              <w:t>Days per week on the normal operating schedule;</w:t>
            </w:r>
          </w:p>
          <w:p w:rsidR="00332B51" w:rsidRPr="00EE465F" w:rsidRDefault="00332B51" w:rsidP="00332B51">
            <w:pPr>
              <w:ind w:left="773" w:hanging="360"/>
              <w:rPr>
                <w:rFonts w:cs="Times New Roman"/>
                <w:bCs/>
                <w:sz w:val="22"/>
              </w:rPr>
            </w:pPr>
          </w:p>
          <w:p w:rsidR="00EC1627" w:rsidRPr="00EE465F" w:rsidRDefault="00332B51" w:rsidP="00EC1627">
            <w:pPr>
              <w:ind w:left="773" w:hanging="360"/>
              <w:rPr>
                <w:rFonts w:cs="Times New Roman"/>
                <w:bCs/>
                <w:sz w:val="22"/>
              </w:rPr>
            </w:pPr>
            <w:r w:rsidRPr="00EE465F">
              <w:rPr>
                <w:rFonts w:cs="Times New Roman"/>
                <w:bCs/>
                <w:sz w:val="22"/>
              </w:rPr>
              <w:t>(3)</w:t>
            </w:r>
            <w:r w:rsidRPr="00EE465F">
              <w:rPr>
                <w:rFonts w:cs="Times New Roman"/>
                <w:bCs/>
                <w:sz w:val="22"/>
              </w:rPr>
              <w:tab/>
              <w:t xml:space="preserve">Hours per day during the normal operating </w:t>
            </w:r>
            <w:r w:rsidR="00EC1627" w:rsidRPr="00EE465F">
              <w:rPr>
                <w:rFonts w:cs="Times New Roman"/>
                <w:bCs/>
                <w:sz w:val="22"/>
              </w:rPr>
              <w:t>schedule; and</w:t>
            </w:r>
          </w:p>
          <w:p w:rsidR="00EC1627" w:rsidRPr="00EE465F" w:rsidRDefault="00EC1627" w:rsidP="00EC1627">
            <w:pPr>
              <w:ind w:left="773" w:hanging="360"/>
              <w:rPr>
                <w:rFonts w:cs="Times New Roman"/>
                <w:bCs/>
                <w:sz w:val="22"/>
              </w:rPr>
            </w:pPr>
          </w:p>
          <w:p w:rsidR="00EC1627" w:rsidRPr="00EC1627" w:rsidRDefault="00EC1627" w:rsidP="00EC1627">
            <w:pPr>
              <w:ind w:left="773" w:hanging="360"/>
              <w:rPr>
                <w:rFonts w:cs="Times New Roman"/>
                <w:bCs/>
                <w:sz w:val="22"/>
              </w:rPr>
            </w:pPr>
            <w:r w:rsidRPr="00EE465F">
              <w:rPr>
                <w:rFonts w:cs="Times New Roman"/>
                <w:bCs/>
                <w:sz w:val="22"/>
              </w:rPr>
              <w:t>(4)</w:t>
            </w:r>
            <w:r w:rsidRPr="00EE465F">
              <w:rPr>
                <w:rFonts w:cs="Times New Roman"/>
                <w:bCs/>
                <w:sz w:val="22"/>
              </w:rPr>
              <w:tab/>
              <w:t>Hours per year during the normal operating schedule;</w:t>
            </w:r>
          </w:p>
        </w:tc>
      </w:tr>
      <w:tr w:rsidR="00EC1627" w:rsidTr="004D6E16">
        <w:trPr>
          <w:trHeight w:val="253"/>
        </w:trPr>
        <w:tc>
          <w:tcPr>
            <w:tcW w:w="4435" w:type="dxa"/>
            <w:tcBorders>
              <w:top w:val="nil"/>
              <w:left w:val="single" w:sz="4" w:space="0" w:color="auto"/>
              <w:right w:val="single" w:sz="4" w:space="0" w:color="auto"/>
            </w:tcBorders>
          </w:tcPr>
          <w:p w:rsidR="00EC1627" w:rsidRPr="00EE465F" w:rsidRDefault="00EC1627" w:rsidP="00332B51">
            <w:pPr>
              <w:spacing w:before="105" w:after="45"/>
              <w:ind w:left="720" w:hanging="240"/>
              <w:outlineLvl w:val="3"/>
              <w:rPr>
                <w:rFonts w:eastAsia="Times New Roman" w:cs="Times New Roman"/>
                <w:bCs/>
                <w:smallCaps/>
                <w:sz w:val="22"/>
              </w:rPr>
            </w:pPr>
            <w:r w:rsidRPr="00EE465F">
              <w:rPr>
                <w:rFonts w:eastAsia="Times New Roman" w:cs="Times New Roman"/>
                <w:bCs/>
                <w:smallCaps/>
                <w:sz w:val="22"/>
              </w:rPr>
              <w:t>(B) Emissions statements</w:t>
            </w:r>
          </w:p>
          <w:p w:rsidR="00EC1627" w:rsidRPr="00332B51" w:rsidRDefault="00EC1627" w:rsidP="00EC1627">
            <w:pPr>
              <w:ind w:left="720"/>
              <w:rPr>
                <w:rFonts w:cs="Times New Roman"/>
                <w:sz w:val="22"/>
              </w:rPr>
            </w:pPr>
            <w:r w:rsidRPr="00EE465F">
              <w:rPr>
                <w:rFonts w:cs="Times New Roman"/>
                <w:sz w:val="22"/>
              </w:rPr>
              <w:t>(</w:t>
            </w:r>
            <w:proofErr w:type="spellStart"/>
            <w:r w:rsidRPr="00EE465F">
              <w:rPr>
                <w:rFonts w:cs="Times New Roman"/>
                <w:sz w:val="22"/>
              </w:rPr>
              <w:t>i</w:t>
            </w:r>
            <w:proofErr w:type="spellEnd"/>
            <w:r w:rsidRPr="00EE465F">
              <w:rPr>
                <w:rFonts w:cs="Times New Roman"/>
                <w:sz w:val="22"/>
              </w:rPr>
              <w:t xml:space="preserve">) Within 2 years after November 15, 1990, the State shall submit a revision to the State implementation plan to require that the owner or operator of each stationary source of oxides of nitrogen or volatile organic compounds provide the State with a statement, in such form as the Administrator may prescribe (or accept an equivalent alternative developed by the State), for classes or categories of sources, showing the actual emissions of oxides of nitrogen and volatile organic compounds from that source. The first </w:t>
            </w:r>
          </w:p>
        </w:tc>
        <w:tc>
          <w:tcPr>
            <w:tcW w:w="5541" w:type="dxa"/>
            <w:vMerge/>
            <w:tcBorders>
              <w:left w:val="single" w:sz="4" w:space="0" w:color="auto"/>
            </w:tcBorders>
          </w:tcPr>
          <w:p w:rsidR="00EC1627" w:rsidRPr="00EE465F" w:rsidRDefault="00EC1627" w:rsidP="00332B51">
            <w:pPr>
              <w:rPr>
                <w:rFonts w:cs="Times New Roman"/>
                <w:szCs w:val="24"/>
              </w:rPr>
            </w:pPr>
          </w:p>
        </w:tc>
      </w:tr>
      <w:tr w:rsidR="00EC1627" w:rsidTr="004D6E16">
        <w:tc>
          <w:tcPr>
            <w:tcW w:w="4435" w:type="dxa"/>
            <w:tcBorders>
              <w:left w:val="single" w:sz="4" w:space="0" w:color="auto"/>
              <w:right w:val="single" w:sz="4" w:space="0" w:color="auto"/>
            </w:tcBorders>
          </w:tcPr>
          <w:p w:rsidR="00EC1627" w:rsidRPr="00332B51" w:rsidRDefault="00EC1627" w:rsidP="00EC1627">
            <w:pPr>
              <w:ind w:left="720"/>
              <w:rPr>
                <w:rFonts w:cs="Times New Roman"/>
                <w:sz w:val="22"/>
              </w:rPr>
            </w:pPr>
            <w:proofErr w:type="gramStart"/>
            <w:r w:rsidRPr="00EE465F">
              <w:rPr>
                <w:rFonts w:cs="Times New Roman"/>
                <w:sz w:val="22"/>
              </w:rPr>
              <w:lastRenderedPageBreak/>
              <w:t>such</w:t>
            </w:r>
            <w:proofErr w:type="gramEnd"/>
            <w:r w:rsidRPr="00EE465F">
              <w:rPr>
                <w:rFonts w:cs="Times New Roman"/>
                <w:sz w:val="22"/>
              </w:rPr>
              <w:t xml:space="preserve"> statement shall be submitted within 3 years after November 15, 1990. Subsequent statements shall be submitted at least every year thereafter. The statement shall contain a certification that the information </w:t>
            </w:r>
          </w:p>
          <w:p w:rsidR="00EC1627" w:rsidRPr="00EE465F" w:rsidRDefault="00EC1627" w:rsidP="00EC1627">
            <w:pPr>
              <w:ind w:left="720"/>
              <w:rPr>
                <w:rFonts w:cs="Times New Roman"/>
                <w:sz w:val="22"/>
              </w:rPr>
            </w:pPr>
            <w:proofErr w:type="gramStart"/>
            <w:r w:rsidRPr="00EE465F">
              <w:rPr>
                <w:rFonts w:cs="Times New Roman"/>
                <w:sz w:val="22"/>
              </w:rPr>
              <w:t>contained</w:t>
            </w:r>
            <w:proofErr w:type="gramEnd"/>
            <w:r w:rsidRPr="00EE465F">
              <w:rPr>
                <w:rFonts w:cs="Times New Roman"/>
                <w:sz w:val="22"/>
              </w:rPr>
              <w:t xml:space="preserve"> in the statement is accurate to the best knowledge of the individual certifying the statement.</w:t>
            </w:r>
          </w:p>
          <w:p w:rsidR="00EC1627" w:rsidRPr="00EE465F" w:rsidRDefault="00EC1627" w:rsidP="00EC1627">
            <w:pPr>
              <w:ind w:left="720"/>
              <w:rPr>
                <w:rFonts w:cs="Times New Roman"/>
                <w:sz w:val="22"/>
              </w:rPr>
            </w:pPr>
            <w:r w:rsidRPr="00EE465F">
              <w:rPr>
                <w:rFonts w:cs="Times New Roman"/>
                <w:sz w:val="22"/>
              </w:rPr>
              <w:t>(ii) The State may waive the application of clause (</w:t>
            </w:r>
            <w:proofErr w:type="spellStart"/>
            <w:r w:rsidRPr="00EE465F">
              <w:rPr>
                <w:rFonts w:cs="Times New Roman"/>
                <w:sz w:val="22"/>
              </w:rPr>
              <w:t>i</w:t>
            </w:r>
            <w:proofErr w:type="spellEnd"/>
            <w:r w:rsidRPr="00EE465F">
              <w:rPr>
                <w:rFonts w:cs="Times New Roman"/>
                <w:sz w:val="22"/>
              </w:rPr>
              <w:t>) to any class or category of stationary sources which emit less than 25 tons per year of volatile organic compounds or oxides of nitrogen if the State, in its submissions under subparagraphs </w:t>
            </w:r>
            <w:hyperlink r:id="rId7" w:anchor="7511a_1_target" w:history="1">
              <w:r w:rsidRPr="00EE465F">
                <w:rPr>
                  <w:rFonts w:cs="Times New Roman"/>
                  <w:color w:val="0563C1"/>
                  <w:sz w:val="22"/>
                  <w:u w:val="single"/>
                  <w:vertAlign w:val="superscript"/>
                </w:rPr>
                <w:t>1</w:t>
              </w:r>
            </w:hyperlink>
            <w:r w:rsidRPr="00EE465F">
              <w:rPr>
                <w:rFonts w:cs="Times New Roman"/>
                <w:sz w:val="22"/>
              </w:rPr>
              <w:t xml:space="preserve"> (1) or (3)(A), provides an inventory of emissions from such class or category of sources, based on the use of the emission factors established by the Administrator or other methods acceptable to the Administrator.</w:t>
            </w:r>
          </w:p>
          <w:p w:rsidR="00EC1627" w:rsidRPr="00EE465F" w:rsidRDefault="00EC1627" w:rsidP="00332B51">
            <w:pPr>
              <w:tabs>
                <w:tab w:val="left" w:pos="1122"/>
              </w:tabs>
              <w:rPr>
                <w:rFonts w:cs="Times New Roman"/>
                <w:szCs w:val="24"/>
              </w:rPr>
            </w:pPr>
          </w:p>
        </w:tc>
        <w:tc>
          <w:tcPr>
            <w:tcW w:w="5541" w:type="dxa"/>
            <w:tcBorders>
              <w:left w:val="single" w:sz="4" w:space="0" w:color="auto"/>
            </w:tcBorders>
          </w:tcPr>
          <w:p w:rsidR="00EC1627" w:rsidRPr="00EE465F" w:rsidRDefault="00EC1627" w:rsidP="00332B51">
            <w:pPr>
              <w:ind w:left="423" w:hanging="423"/>
              <w:rPr>
                <w:rFonts w:cs="Times New Roman"/>
                <w:bCs/>
                <w:sz w:val="22"/>
              </w:rPr>
            </w:pPr>
            <w:r w:rsidRPr="00EE465F">
              <w:rPr>
                <w:rFonts w:cs="Times New Roman"/>
                <w:bCs/>
                <w:sz w:val="22"/>
              </w:rPr>
              <w:t>(d)</w:t>
            </w:r>
            <w:r w:rsidRPr="00EE465F">
              <w:rPr>
                <w:rFonts w:cs="Times New Roman"/>
                <w:bCs/>
                <w:sz w:val="22"/>
              </w:rPr>
              <w:tab/>
              <w:t>Process rate data:</w:t>
            </w:r>
          </w:p>
          <w:p w:rsidR="00EC1627" w:rsidRPr="00EE465F" w:rsidRDefault="00EC1627" w:rsidP="00332B51">
            <w:pPr>
              <w:rPr>
                <w:rFonts w:cs="Times New Roman"/>
                <w:bCs/>
                <w:sz w:val="22"/>
              </w:rPr>
            </w:pPr>
          </w:p>
          <w:p w:rsidR="00EC1627" w:rsidRPr="00EE465F" w:rsidRDefault="00EC1627" w:rsidP="00332B51">
            <w:pPr>
              <w:ind w:left="783" w:hanging="360"/>
              <w:rPr>
                <w:rFonts w:cs="Times New Roman"/>
                <w:bCs/>
                <w:sz w:val="22"/>
              </w:rPr>
            </w:pPr>
            <w:r w:rsidRPr="00EE465F">
              <w:rPr>
                <w:rFonts w:cs="Times New Roman"/>
                <w:bCs/>
                <w:sz w:val="22"/>
              </w:rPr>
              <w:t>(1)</w:t>
            </w:r>
            <w:r w:rsidRPr="00EE465F">
              <w:rPr>
                <w:rFonts w:cs="Times New Roman"/>
                <w:bCs/>
                <w:sz w:val="22"/>
              </w:rPr>
              <w:tab/>
              <w:t>Annual process rate; and</w:t>
            </w:r>
          </w:p>
          <w:p w:rsidR="00EC1627" w:rsidRPr="00EE465F" w:rsidRDefault="00EC1627" w:rsidP="00332B51">
            <w:pPr>
              <w:ind w:left="783" w:hanging="360"/>
              <w:rPr>
                <w:rFonts w:cs="Times New Roman"/>
                <w:bCs/>
                <w:sz w:val="22"/>
              </w:rPr>
            </w:pPr>
          </w:p>
          <w:p w:rsidR="00EC1627" w:rsidRPr="00EE465F" w:rsidRDefault="00EC1627" w:rsidP="00332B51">
            <w:pPr>
              <w:ind w:left="783" w:hanging="360"/>
              <w:rPr>
                <w:rFonts w:cs="Times New Roman"/>
                <w:bCs/>
                <w:sz w:val="22"/>
              </w:rPr>
            </w:pPr>
            <w:r w:rsidRPr="00EE465F">
              <w:rPr>
                <w:rFonts w:cs="Times New Roman"/>
                <w:bCs/>
                <w:sz w:val="22"/>
              </w:rPr>
              <w:t>(2)</w:t>
            </w:r>
            <w:r w:rsidRPr="00EE465F">
              <w:rPr>
                <w:rFonts w:cs="Times New Roman"/>
                <w:bCs/>
                <w:sz w:val="22"/>
              </w:rPr>
              <w:tab/>
              <w:t>Peak ozone season daily process rate;</w:t>
            </w:r>
          </w:p>
          <w:p w:rsidR="00EC1627" w:rsidRPr="00EE465F" w:rsidRDefault="00EC1627" w:rsidP="00332B51">
            <w:pPr>
              <w:rPr>
                <w:rFonts w:cs="Times New Roman"/>
                <w:bCs/>
                <w:sz w:val="22"/>
              </w:rPr>
            </w:pPr>
          </w:p>
          <w:p w:rsidR="00EC1627" w:rsidRPr="00EE465F" w:rsidRDefault="00EC1627" w:rsidP="00332B51">
            <w:pPr>
              <w:ind w:left="423" w:hanging="423"/>
              <w:rPr>
                <w:rFonts w:cs="Times New Roman"/>
                <w:bCs/>
                <w:sz w:val="22"/>
              </w:rPr>
            </w:pPr>
            <w:r w:rsidRPr="00EE465F">
              <w:rPr>
                <w:rFonts w:cs="Times New Roman"/>
                <w:bCs/>
                <w:sz w:val="22"/>
              </w:rPr>
              <w:t>(e)</w:t>
            </w:r>
            <w:r w:rsidRPr="00EE465F">
              <w:rPr>
                <w:rFonts w:cs="Times New Roman"/>
                <w:bCs/>
                <w:sz w:val="22"/>
              </w:rPr>
              <w:tab/>
              <w:t>Control equipment information:</w:t>
            </w:r>
          </w:p>
          <w:p w:rsidR="00EC1627" w:rsidRPr="00EE465F" w:rsidRDefault="00EC1627" w:rsidP="00332B51">
            <w:pPr>
              <w:rPr>
                <w:rFonts w:cs="Times New Roman"/>
                <w:bCs/>
                <w:sz w:val="22"/>
              </w:rPr>
            </w:pPr>
          </w:p>
          <w:p w:rsidR="00EC1627" w:rsidRPr="00EE465F" w:rsidRDefault="00EC1627" w:rsidP="00332B51">
            <w:pPr>
              <w:ind w:left="783" w:hanging="360"/>
              <w:rPr>
                <w:rFonts w:cs="Times New Roman"/>
                <w:bCs/>
                <w:sz w:val="22"/>
              </w:rPr>
            </w:pPr>
            <w:r w:rsidRPr="00EE465F">
              <w:rPr>
                <w:rFonts w:cs="Times New Roman"/>
                <w:bCs/>
                <w:sz w:val="22"/>
              </w:rPr>
              <w:t>(1)</w:t>
            </w:r>
            <w:r w:rsidRPr="00EE465F">
              <w:rPr>
                <w:rFonts w:cs="Times New Roman"/>
                <w:bCs/>
                <w:sz w:val="22"/>
              </w:rPr>
              <w:tab/>
              <w:t>Current primary and secondary AFS control equipment identification codes; and</w:t>
            </w:r>
          </w:p>
          <w:p w:rsidR="00EC1627" w:rsidRPr="00EE465F" w:rsidRDefault="00EC1627" w:rsidP="00332B51">
            <w:pPr>
              <w:ind w:left="783" w:hanging="360"/>
              <w:rPr>
                <w:rFonts w:cs="Times New Roman"/>
                <w:bCs/>
                <w:sz w:val="22"/>
              </w:rPr>
            </w:pPr>
          </w:p>
          <w:p w:rsidR="00EC1627" w:rsidRPr="00EE465F" w:rsidRDefault="00EC1627" w:rsidP="00332B51">
            <w:pPr>
              <w:ind w:left="783" w:hanging="360"/>
              <w:rPr>
                <w:rFonts w:cs="Times New Roman"/>
                <w:bCs/>
                <w:sz w:val="22"/>
              </w:rPr>
            </w:pPr>
            <w:r w:rsidRPr="00EE465F">
              <w:rPr>
                <w:rFonts w:cs="Times New Roman"/>
                <w:bCs/>
                <w:sz w:val="22"/>
              </w:rPr>
              <w:t>(2)</w:t>
            </w:r>
            <w:r w:rsidRPr="00EE465F">
              <w:rPr>
                <w:rFonts w:cs="Times New Roman"/>
                <w:bCs/>
                <w:sz w:val="22"/>
              </w:rPr>
              <w:tab/>
              <w:t>Current control equipment efficiency. The actual efficiency shall reflect the total control efficiency from all control equipment and include downtime and maintenance degradation. If the actual control efficiency is unavailable, the design efficiency or the control efficiency limit imposed by a permit shall be used; and</w:t>
            </w:r>
          </w:p>
          <w:p w:rsidR="00EC1627" w:rsidRPr="00EE465F" w:rsidRDefault="00EC1627" w:rsidP="00332B51">
            <w:pPr>
              <w:rPr>
                <w:rFonts w:cs="Times New Roman"/>
                <w:bCs/>
                <w:sz w:val="22"/>
              </w:rPr>
            </w:pPr>
          </w:p>
          <w:p w:rsidR="00EC1627" w:rsidRPr="00EE465F" w:rsidRDefault="00EC1627" w:rsidP="00332B51">
            <w:pPr>
              <w:ind w:left="423" w:hanging="423"/>
              <w:rPr>
                <w:rFonts w:cs="Times New Roman"/>
                <w:bCs/>
                <w:sz w:val="22"/>
              </w:rPr>
            </w:pPr>
            <w:r w:rsidRPr="00EE465F">
              <w:rPr>
                <w:rFonts w:cs="Times New Roman"/>
                <w:bCs/>
                <w:sz w:val="22"/>
              </w:rPr>
              <w:t>(f)</w:t>
            </w:r>
            <w:r w:rsidRPr="00EE465F">
              <w:rPr>
                <w:rFonts w:cs="Times New Roman"/>
                <w:bCs/>
                <w:sz w:val="22"/>
              </w:rPr>
              <w:tab/>
              <w:t>Emissions information:</w:t>
            </w:r>
          </w:p>
          <w:p w:rsidR="00EC1627" w:rsidRPr="00EE465F" w:rsidRDefault="00EC1627" w:rsidP="00332B51">
            <w:pPr>
              <w:rPr>
                <w:rFonts w:cs="Times New Roman"/>
                <w:bCs/>
                <w:sz w:val="22"/>
              </w:rPr>
            </w:pPr>
          </w:p>
          <w:p w:rsidR="00EC1627" w:rsidRPr="00EE465F" w:rsidRDefault="00EC1627" w:rsidP="00332B51">
            <w:pPr>
              <w:ind w:left="783" w:hanging="360"/>
              <w:rPr>
                <w:rFonts w:cs="Times New Roman"/>
                <w:bCs/>
                <w:sz w:val="22"/>
              </w:rPr>
            </w:pPr>
            <w:r w:rsidRPr="00EE465F">
              <w:rPr>
                <w:rFonts w:cs="Times New Roman"/>
                <w:bCs/>
                <w:sz w:val="22"/>
              </w:rPr>
              <w:t>(1)</w:t>
            </w:r>
            <w:r w:rsidRPr="00EE465F">
              <w:rPr>
                <w:rFonts w:cs="Times New Roman"/>
                <w:bCs/>
                <w:sz w:val="22"/>
              </w:rPr>
              <w:tab/>
              <w:t>Estimated actual emissions of oxides of nitrogen and volatile organic compounds at the segment level in tons per year and pounds per typical ozone season day. Actual emission estimates shall include upsets, downtime and fugitive emissions, and shall follow an emission estimation method;</w:t>
            </w:r>
          </w:p>
          <w:p w:rsidR="00EC1627" w:rsidRPr="00EE465F" w:rsidRDefault="00EC1627" w:rsidP="00332B51">
            <w:pPr>
              <w:ind w:left="783" w:hanging="360"/>
              <w:rPr>
                <w:rFonts w:cs="Times New Roman"/>
                <w:bCs/>
                <w:sz w:val="22"/>
              </w:rPr>
            </w:pPr>
          </w:p>
          <w:p w:rsidR="00EC1627" w:rsidRPr="00EE465F" w:rsidRDefault="00EC1627" w:rsidP="00332B51">
            <w:pPr>
              <w:ind w:left="783" w:hanging="360"/>
              <w:rPr>
                <w:rFonts w:cs="Times New Roman"/>
                <w:bCs/>
                <w:sz w:val="22"/>
              </w:rPr>
            </w:pPr>
            <w:r w:rsidRPr="00EE465F">
              <w:rPr>
                <w:rFonts w:cs="Times New Roman"/>
                <w:bCs/>
                <w:sz w:val="22"/>
              </w:rPr>
              <w:t>(2)</w:t>
            </w:r>
            <w:r w:rsidRPr="00EE465F">
              <w:rPr>
                <w:rFonts w:cs="Times New Roman"/>
                <w:bCs/>
                <w:sz w:val="22"/>
              </w:rPr>
              <w:tab/>
              <w:t>AFS estimated emissions method code;</w:t>
            </w:r>
          </w:p>
          <w:p w:rsidR="00EC1627" w:rsidRPr="00EE465F" w:rsidRDefault="00EC1627" w:rsidP="00332B51">
            <w:pPr>
              <w:ind w:left="783" w:hanging="360"/>
              <w:rPr>
                <w:rFonts w:cs="Times New Roman"/>
                <w:bCs/>
                <w:sz w:val="22"/>
              </w:rPr>
            </w:pPr>
          </w:p>
          <w:p w:rsidR="00EC1627" w:rsidRPr="00EE465F" w:rsidRDefault="00EC1627" w:rsidP="00332B51">
            <w:pPr>
              <w:ind w:left="783" w:hanging="360"/>
              <w:rPr>
                <w:rFonts w:cs="Times New Roman"/>
                <w:bCs/>
                <w:sz w:val="22"/>
              </w:rPr>
            </w:pPr>
            <w:r w:rsidRPr="00EE465F">
              <w:rPr>
                <w:rFonts w:cs="Times New Roman"/>
                <w:bCs/>
                <w:sz w:val="22"/>
              </w:rPr>
              <w:t>(3)</w:t>
            </w:r>
            <w:r w:rsidRPr="00EE465F">
              <w:rPr>
                <w:rFonts w:cs="Times New Roman"/>
                <w:bCs/>
                <w:sz w:val="22"/>
              </w:rPr>
              <w:tab/>
              <w:t>Calendar year for the emissions; and</w:t>
            </w:r>
          </w:p>
          <w:p w:rsidR="00EC1627" w:rsidRPr="00EE465F" w:rsidRDefault="00EC1627" w:rsidP="00332B51">
            <w:pPr>
              <w:ind w:left="783" w:hanging="360"/>
              <w:rPr>
                <w:rFonts w:cs="Times New Roman"/>
                <w:bCs/>
                <w:sz w:val="22"/>
              </w:rPr>
            </w:pPr>
          </w:p>
          <w:p w:rsidR="00EC1627" w:rsidRPr="00EE465F" w:rsidRDefault="00EC1627" w:rsidP="00332B51">
            <w:pPr>
              <w:ind w:left="783" w:hanging="360"/>
              <w:rPr>
                <w:rFonts w:cs="Times New Roman"/>
                <w:bCs/>
                <w:sz w:val="22"/>
              </w:rPr>
            </w:pPr>
            <w:r w:rsidRPr="00EE465F">
              <w:rPr>
                <w:rFonts w:cs="Times New Roman"/>
                <w:bCs/>
                <w:sz w:val="22"/>
              </w:rPr>
              <w:t>(4)</w:t>
            </w:r>
            <w:r w:rsidRPr="00EE465F">
              <w:rPr>
                <w:rFonts w:cs="Times New Roman"/>
                <w:bCs/>
                <w:sz w:val="22"/>
              </w:rPr>
              <w:tab/>
              <w:t>Emission factor, if applicable.</w:t>
            </w:r>
          </w:p>
          <w:p w:rsidR="00EC1627" w:rsidRPr="00EE465F" w:rsidRDefault="00EC1627" w:rsidP="00332B51">
            <w:pPr>
              <w:ind w:left="783" w:hanging="360"/>
              <w:rPr>
                <w:rFonts w:cs="Times New Roman"/>
                <w:bCs/>
                <w:sz w:val="22"/>
              </w:rPr>
            </w:pPr>
          </w:p>
          <w:p w:rsidR="00EC1627" w:rsidRPr="00EE465F" w:rsidRDefault="00EC1627" w:rsidP="00C45711">
            <w:pPr>
              <w:rPr>
                <w:rFonts w:cs="Times New Roman"/>
                <w:szCs w:val="24"/>
              </w:rPr>
            </w:pPr>
            <w:r w:rsidRPr="00EE465F">
              <w:rPr>
                <w:rFonts w:cs="Times New Roman"/>
                <w:bCs/>
                <w:i/>
                <w:sz w:val="22"/>
              </w:rPr>
              <w:t xml:space="preserve">Note: In addition to the above regulatory requirements, pursuant to the Air Emissions Reporting Requirements (AERR) rule promulgated in </w:t>
            </w:r>
            <w:r>
              <w:rPr>
                <w:rFonts w:cs="Times New Roman"/>
                <w:bCs/>
                <w:i/>
                <w:sz w:val="22"/>
              </w:rPr>
              <w:t>2008</w:t>
            </w:r>
            <w:r w:rsidRPr="00EE465F">
              <w:rPr>
                <w:rFonts w:cs="Times New Roman"/>
                <w:bCs/>
                <w:i/>
                <w:sz w:val="22"/>
              </w:rPr>
              <w:t xml:space="preserve"> and revised in 20</w:t>
            </w:r>
            <w:r w:rsidR="00C45711">
              <w:rPr>
                <w:rFonts w:cs="Times New Roman"/>
                <w:bCs/>
                <w:i/>
                <w:sz w:val="22"/>
              </w:rPr>
              <w:t>15, 2016, and 2018</w:t>
            </w:r>
            <w:bookmarkStart w:id="0" w:name="_GoBack"/>
            <w:bookmarkEnd w:id="0"/>
            <w:r w:rsidRPr="00EE465F">
              <w:rPr>
                <w:rFonts w:cs="Times New Roman"/>
                <w:bCs/>
                <w:i/>
                <w:sz w:val="22"/>
              </w:rPr>
              <w:t xml:space="preserve"> </w:t>
            </w:r>
            <w:proofErr w:type="spellStart"/>
            <w:r w:rsidRPr="00EE465F">
              <w:rPr>
                <w:rFonts w:cs="Times New Roman"/>
                <w:bCs/>
                <w:i/>
                <w:sz w:val="22"/>
              </w:rPr>
              <w:t>and</w:t>
            </w:r>
            <w:proofErr w:type="spellEnd"/>
            <w:r w:rsidRPr="00EE465F">
              <w:rPr>
                <w:rFonts w:cs="Times New Roman"/>
                <w:bCs/>
                <w:i/>
                <w:sz w:val="22"/>
              </w:rPr>
              <w:t xml:space="preserve"> found in 40 CFR § 51, the District is required to submit emissions inventories for criteria</w:t>
            </w:r>
            <w:r w:rsidRPr="00EE465F">
              <w:rPr>
                <w:rFonts w:cs="Times New Roman"/>
              </w:rPr>
              <w:t xml:space="preserve"> </w:t>
            </w:r>
            <w:r w:rsidRPr="00EE465F">
              <w:rPr>
                <w:rFonts w:cs="Times New Roman"/>
                <w:bCs/>
                <w:i/>
                <w:sz w:val="22"/>
              </w:rPr>
              <w:t>pollutants to EPA’s Emissions Inventory System (EIS). Sources that emit less than 25 tons per year of volatile organic compounds or oxides of nitrogen are covered by these requirements and included in these inventories as area sources. Their emissions are calculated for this purpose using emission factors approved by the Administrator. These sources are therefore addressed in accordance with § 182(a</w:t>
            </w:r>
            <w:proofErr w:type="gramStart"/>
            <w:r w:rsidRPr="00EE465F">
              <w:rPr>
                <w:rFonts w:cs="Times New Roman"/>
                <w:bCs/>
                <w:i/>
                <w:sz w:val="22"/>
              </w:rPr>
              <w:t>)(</w:t>
            </w:r>
            <w:proofErr w:type="gramEnd"/>
            <w:r w:rsidRPr="00EE465F">
              <w:rPr>
                <w:rFonts w:cs="Times New Roman"/>
                <w:bCs/>
                <w:i/>
                <w:sz w:val="22"/>
              </w:rPr>
              <w:t>3)(B)(ii).</w:t>
            </w:r>
          </w:p>
        </w:tc>
      </w:tr>
    </w:tbl>
    <w:p w:rsidR="00EE465F" w:rsidRDefault="00EE465F" w:rsidP="00520014">
      <w:pPr>
        <w:rPr>
          <w:rFonts w:cs="Times New Roman"/>
          <w:szCs w:val="24"/>
        </w:rPr>
      </w:pPr>
    </w:p>
    <w:sectPr w:rsidR="00EE465F" w:rsidSect="00953E39">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E39" w:rsidRDefault="00953E39" w:rsidP="00953E39">
      <w:r>
        <w:separator/>
      </w:r>
    </w:p>
  </w:endnote>
  <w:endnote w:type="continuationSeparator" w:id="0">
    <w:p w:rsidR="00953E39" w:rsidRDefault="00953E39" w:rsidP="0095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E39" w:rsidRDefault="00953E39" w:rsidP="00953E39">
    <w:pPr>
      <w:pStyle w:val="Footer"/>
      <w:tabs>
        <w:tab w:val="right" w:pos="-4680"/>
      </w:tabs>
      <w:jc w:val="center"/>
      <w:rPr>
        <w:rFonts w:ascii="Century Gothic" w:hAnsi="Century Gothic"/>
        <w:sz w:val="19"/>
        <w:szCs w:val="19"/>
      </w:rPr>
    </w:pPr>
    <w:r w:rsidRPr="0030116A">
      <w:rPr>
        <w:rFonts w:ascii="Century Gothic" w:hAnsi="Century Gothic"/>
        <w:noProof/>
        <w:sz w:val="20"/>
        <w:szCs w:val="20"/>
      </w:rPr>
      <w:drawing>
        <wp:anchor distT="0" distB="0" distL="114300" distR="114300" simplePos="0" relativeHeight="251661312" behindDoc="0" locked="0" layoutInCell="1" allowOverlap="1" wp14:anchorId="4F1E4047" wp14:editId="5694C4F9">
          <wp:simplePos x="0" y="0"/>
          <wp:positionH relativeFrom="margin">
            <wp:posOffset>6015990</wp:posOffset>
          </wp:positionH>
          <wp:positionV relativeFrom="paragraph">
            <wp:posOffset>-11430</wp:posOffset>
          </wp:positionV>
          <wp:extent cx="520700" cy="7035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DClogoBLACK.jpg"/>
                  <pic:cNvPicPr/>
                </pic:nvPicPr>
                <pic:blipFill>
                  <a:blip r:embed="rId1">
                    <a:extLst>
                      <a:ext uri="{28A0092B-C50C-407E-A947-70E740481C1C}">
                        <a14:useLocalDpi xmlns:a14="http://schemas.microsoft.com/office/drawing/2010/main" val="0"/>
                      </a:ext>
                    </a:extLst>
                  </a:blip>
                  <a:stretch>
                    <a:fillRect/>
                  </a:stretch>
                </pic:blipFill>
                <pic:spPr>
                  <a:xfrm>
                    <a:off x="0" y="0"/>
                    <a:ext cx="520700" cy="70358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sz w:val="20"/>
        <w:szCs w:val="20"/>
      </w:rPr>
      <w:drawing>
        <wp:anchor distT="0" distB="0" distL="114300" distR="114300" simplePos="0" relativeHeight="251660288" behindDoc="0" locked="0" layoutInCell="1" allowOverlap="1" wp14:anchorId="6D840F23" wp14:editId="7E45997D">
          <wp:simplePos x="0" y="0"/>
          <wp:positionH relativeFrom="page">
            <wp:posOffset>228600</wp:posOffset>
          </wp:positionH>
          <wp:positionV relativeFrom="paragraph">
            <wp:posOffset>28575</wp:posOffset>
          </wp:positionV>
          <wp:extent cx="1645920" cy="4203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E-LOGO-FINAL-HORI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5920" cy="42037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rPr>
      <mc:AlternateContent>
        <mc:Choice Requires="wps">
          <w:drawing>
            <wp:anchor distT="0" distB="0" distL="114300" distR="114300" simplePos="0" relativeHeight="251659264" behindDoc="0" locked="0" layoutInCell="1" allowOverlap="1" wp14:anchorId="72BA7E01" wp14:editId="7780F122">
              <wp:simplePos x="0" y="0"/>
              <wp:positionH relativeFrom="page">
                <wp:posOffset>1943100</wp:posOffset>
              </wp:positionH>
              <wp:positionV relativeFrom="paragraph">
                <wp:posOffset>58420</wp:posOffset>
              </wp:positionV>
              <wp:extent cx="4928870" cy="0"/>
              <wp:effectExtent l="0" t="0" r="24130" b="1905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8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pt,4.6pt" to="541.1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0H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" strokeweight="1.5pt">
              <w10:wrap type="topAndBottom" anchorx="page"/>
            </v:line>
          </w:pict>
        </mc:Fallback>
      </mc:AlternateContent>
    </w:r>
    <w:r w:rsidRPr="0030116A">
      <w:rPr>
        <w:rFonts w:ascii="Century Gothic" w:hAnsi="Century Gothic"/>
        <w:sz w:val="20"/>
        <w:szCs w:val="20"/>
      </w:rPr>
      <w:t xml:space="preserve"> </w:t>
    </w:r>
    <w:r>
      <w:rPr>
        <w:rFonts w:ascii="Century Gothic" w:hAnsi="Century Gothic"/>
        <w:sz w:val="20"/>
        <w:szCs w:val="20"/>
      </w:rPr>
      <w:t xml:space="preserve">                </w:t>
    </w:r>
    <w:r w:rsidRPr="0030116A">
      <w:rPr>
        <w:rFonts w:ascii="Century Gothic" w:hAnsi="Century Gothic"/>
        <w:sz w:val="20"/>
        <w:szCs w:val="20"/>
      </w:rPr>
      <w:t xml:space="preserve">    </w:t>
    </w:r>
    <w:r>
      <w:rPr>
        <w:rFonts w:ascii="Century Gothic" w:hAnsi="Century Gothic"/>
        <w:sz w:val="20"/>
        <w:szCs w:val="20"/>
      </w:rPr>
      <w:t xml:space="preserve">        </w:t>
    </w:r>
  </w:p>
  <w:p w:rsidR="00953E39" w:rsidRPr="0030116A" w:rsidRDefault="00953E39" w:rsidP="00953E39">
    <w:pPr>
      <w:pStyle w:val="Footer"/>
      <w:tabs>
        <w:tab w:val="right" w:pos="-4680"/>
      </w:tabs>
      <w:jc w:val="center"/>
      <w:rPr>
        <w:rFonts w:ascii="Century Gothic" w:hAnsi="Century Gothic"/>
        <w:sz w:val="19"/>
        <w:szCs w:val="19"/>
      </w:rPr>
    </w:pPr>
    <w:r>
      <w:rPr>
        <w:rFonts w:ascii="Century Gothic" w:hAnsi="Century Gothic"/>
        <w:sz w:val="19"/>
        <w:szCs w:val="19"/>
      </w:rPr>
      <w:t xml:space="preserve">                              </w:t>
    </w:r>
    <w:r w:rsidRPr="00953E39">
      <w:rPr>
        <w:rFonts w:ascii="Century Gothic" w:hAnsi="Century Gothic"/>
        <w:sz w:val="19"/>
        <w:szCs w:val="19"/>
      </w:rPr>
      <w:t>1200 First Street NE, 5th Floor, Washington, DC 20002 | (202) 535-2600 | doee.dc.gov</w:t>
    </w:r>
  </w:p>
  <w:p w:rsidR="00953E39" w:rsidRDefault="00953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E39" w:rsidRDefault="00953E39" w:rsidP="00953E39">
      <w:r>
        <w:separator/>
      </w:r>
    </w:p>
  </w:footnote>
  <w:footnote w:type="continuationSeparator" w:id="0">
    <w:p w:rsidR="00953E39" w:rsidRDefault="00953E39" w:rsidP="00953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E39" w:rsidRPr="0030116A" w:rsidRDefault="00953E39" w:rsidP="00953E39">
    <w:pPr>
      <w:tabs>
        <w:tab w:val="left" w:pos="6553"/>
      </w:tabs>
      <w:jc w:val="center"/>
      <w:rPr>
        <w:rFonts w:ascii="Century Gothic" w:hAnsi="Century Gothic"/>
        <w:b/>
      </w:rPr>
    </w:pPr>
    <w:r w:rsidRPr="0030116A">
      <w:rPr>
        <w:rFonts w:ascii="Century Gothic" w:hAnsi="Century Gothic"/>
        <w:b/>
      </w:rPr>
      <w:t>GOVERNMENT OF THE DISTRICT OF COLUMBIA</w:t>
    </w:r>
    <w:r>
      <w:rPr>
        <w:rFonts w:ascii="Century Gothic" w:hAnsi="Century Gothic"/>
        <w:b/>
      </w:rPr>
      <w:br/>
    </w:r>
    <w:r w:rsidRPr="0030116A">
      <w:rPr>
        <w:rFonts w:ascii="Century Gothic" w:hAnsi="Century Gothic"/>
      </w:rPr>
      <w:t>Department of Energy and Environment</w:t>
    </w:r>
  </w:p>
  <w:p w:rsidR="00953E39" w:rsidRDefault="00953E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14"/>
    <w:rsid w:val="00217A53"/>
    <w:rsid w:val="00332B51"/>
    <w:rsid w:val="00376778"/>
    <w:rsid w:val="00520014"/>
    <w:rsid w:val="00953E39"/>
    <w:rsid w:val="009D4DCF"/>
    <w:rsid w:val="00A65A25"/>
    <w:rsid w:val="00C45711"/>
    <w:rsid w:val="00CC7E86"/>
    <w:rsid w:val="00CE6118"/>
    <w:rsid w:val="00EC1627"/>
    <w:rsid w:val="00EE465F"/>
    <w:rsid w:val="00F4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01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2">
    <w:name w:val="My Style2"/>
    <w:basedOn w:val="Normal"/>
    <w:link w:val="MyStyle2Char"/>
    <w:qFormat/>
    <w:rsid w:val="00217A53"/>
    <w:pPr>
      <w:spacing w:after="240"/>
      <w:ind w:firstLine="360"/>
    </w:pPr>
    <w:rPr>
      <w:szCs w:val="24"/>
    </w:rPr>
  </w:style>
  <w:style w:type="character" w:customStyle="1" w:styleId="MyStyle2Char">
    <w:name w:val="My Style2 Char"/>
    <w:basedOn w:val="DefaultParagraphFont"/>
    <w:link w:val="MyStyle2"/>
    <w:rsid w:val="00217A53"/>
    <w:rPr>
      <w:sz w:val="24"/>
      <w:szCs w:val="24"/>
    </w:rPr>
  </w:style>
  <w:style w:type="paragraph" w:customStyle="1" w:styleId="Style2">
    <w:name w:val="Style2"/>
    <w:basedOn w:val="Normal"/>
    <w:link w:val="Style2Char"/>
    <w:qFormat/>
    <w:rsid w:val="00217A53"/>
    <w:pPr>
      <w:spacing w:after="240"/>
      <w:ind w:left="360"/>
    </w:pPr>
    <w:rPr>
      <w:rFonts w:ascii="Comic Sans MS" w:hAnsi="Comic Sans MS"/>
      <w:szCs w:val="24"/>
    </w:rPr>
  </w:style>
  <w:style w:type="character" w:customStyle="1" w:styleId="Style2Char">
    <w:name w:val="Style2 Char"/>
    <w:basedOn w:val="DefaultParagraphFont"/>
    <w:link w:val="Style2"/>
    <w:rsid w:val="00217A53"/>
    <w:rPr>
      <w:rFonts w:ascii="Comic Sans MS" w:hAnsi="Comic Sans MS"/>
      <w:sz w:val="24"/>
      <w:szCs w:val="24"/>
    </w:rPr>
  </w:style>
  <w:style w:type="character" w:styleId="Hyperlink">
    <w:name w:val="Hyperlink"/>
    <w:basedOn w:val="DefaultParagraphFont"/>
    <w:uiPriority w:val="99"/>
    <w:unhideWhenUsed/>
    <w:rsid w:val="00520014"/>
    <w:rPr>
      <w:color w:val="0000FF" w:themeColor="hyperlink"/>
      <w:u w:val="single"/>
    </w:rPr>
  </w:style>
  <w:style w:type="table" w:styleId="TableGrid">
    <w:name w:val="Table Grid"/>
    <w:basedOn w:val="TableNormal"/>
    <w:uiPriority w:val="59"/>
    <w:rsid w:val="00EE4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465F"/>
    <w:rPr>
      <w:rFonts w:ascii="Tahoma" w:hAnsi="Tahoma" w:cs="Tahoma"/>
      <w:sz w:val="16"/>
      <w:szCs w:val="16"/>
    </w:rPr>
  </w:style>
  <w:style w:type="character" w:customStyle="1" w:styleId="BalloonTextChar">
    <w:name w:val="Balloon Text Char"/>
    <w:basedOn w:val="DefaultParagraphFont"/>
    <w:link w:val="BalloonText"/>
    <w:uiPriority w:val="99"/>
    <w:semiHidden/>
    <w:rsid w:val="00EE465F"/>
    <w:rPr>
      <w:rFonts w:ascii="Tahoma" w:hAnsi="Tahoma" w:cs="Tahoma"/>
      <w:sz w:val="16"/>
      <w:szCs w:val="16"/>
    </w:rPr>
  </w:style>
  <w:style w:type="paragraph" w:styleId="Header">
    <w:name w:val="header"/>
    <w:basedOn w:val="Normal"/>
    <w:link w:val="HeaderChar"/>
    <w:uiPriority w:val="99"/>
    <w:unhideWhenUsed/>
    <w:rsid w:val="00953E39"/>
    <w:pPr>
      <w:tabs>
        <w:tab w:val="center" w:pos="4680"/>
        <w:tab w:val="right" w:pos="9360"/>
      </w:tabs>
    </w:pPr>
  </w:style>
  <w:style w:type="character" w:customStyle="1" w:styleId="HeaderChar">
    <w:name w:val="Header Char"/>
    <w:basedOn w:val="DefaultParagraphFont"/>
    <w:link w:val="Header"/>
    <w:uiPriority w:val="99"/>
    <w:rsid w:val="00953E39"/>
    <w:rPr>
      <w:rFonts w:ascii="Times New Roman" w:hAnsi="Times New Roman"/>
      <w:sz w:val="24"/>
    </w:rPr>
  </w:style>
  <w:style w:type="paragraph" w:styleId="Footer">
    <w:name w:val="footer"/>
    <w:basedOn w:val="Normal"/>
    <w:link w:val="FooterChar"/>
    <w:uiPriority w:val="99"/>
    <w:unhideWhenUsed/>
    <w:rsid w:val="00953E39"/>
    <w:pPr>
      <w:tabs>
        <w:tab w:val="center" w:pos="4680"/>
        <w:tab w:val="right" w:pos="9360"/>
      </w:tabs>
    </w:pPr>
  </w:style>
  <w:style w:type="character" w:customStyle="1" w:styleId="FooterChar">
    <w:name w:val="Footer Char"/>
    <w:basedOn w:val="DefaultParagraphFont"/>
    <w:link w:val="Footer"/>
    <w:uiPriority w:val="99"/>
    <w:rsid w:val="00953E39"/>
    <w:rPr>
      <w:rFonts w:ascii="Times New Roman" w:hAnsi="Times New Roman"/>
      <w:sz w:val="24"/>
    </w:rPr>
  </w:style>
  <w:style w:type="character" w:styleId="CommentReference">
    <w:name w:val="annotation reference"/>
    <w:basedOn w:val="DefaultParagraphFont"/>
    <w:uiPriority w:val="99"/>
    <w:semiHidden/>
    <w:unhideWhenUsed/>
    <w:rsid w:val="00EC1627"/>
    <w:rPr>
      <w:sz w:val="16"/>
      <w:szCs w:val="16"/>
    </w:rPr>
  </w:style>
  <w:style w:type="paragraph" w:styleId="CommentText">
    <w:name w:val="annotation text"/>
    <w:basedOn w:val="Normal"/>
    <w:link w:val="CommentTextChar"/>
    <w:uiPriority w:val="99"/>
    <w:semiHidden/>
    <w:unhideWhenUsed/>
    <w:rsid w:val="00EC1627"/>
    <w:rPr>
      <w:sz w:val="20"/>
      <w:szCs w:val="20"/>
    </w:rPr>
  </w:style>
  <w:style w:type="character" w:customStyle="1" w:styleId="CommentTextChar">
    <w:name w:val="Comment Text Char"/>
    <w:basedOn w:val="DefaultParagraphFont"/>
    <w:link w:val="CommentText"/>
    <w:uiPriority w:val="99"/>
    <w:semiHidden/>
    <w:rsid w:val="00EC162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C1627"/>
    <w:rPr>
      <w:b/>
      <w:bCs/>
    </w:rPr>
  </w:style>
  <w:style w:type="character" w:customStyle="1" w:styleId="CommentSubjectChar">
    <w:name w:val="Comment Subject Char"/>
    <w:basedOn w:val="CommentTextChar"/>
    <w:link w:val="CommentSubject"/>
    <w:uiPriority w:val="99"/>
    <w:semiHidden/>
    <w:rsid w:val="00EC1627"/>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01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2">
    <w:name w:val="My Style2"/>
    <w:basedOn w:val="Normal"/>
    <w:link w:val="MyStyle2Char"/>
    <w:qFormat/>
    <w:rsid w:val="00217A53"/>
    <w:pPr>
      <w:spacing w:after="240"/>
      <w:ind w:firstLine="360"/>
    </w:pPr>
    <w:rPr>
      <w:szCs w:val="24"/>
    </w:rPr>
  </w:style>
  <w:style w:type="character" w:customStyle="1" w:styleId="MyStyle2Char">
    <w:name w:val="My Style2 Char"/>
    <w:basedOn w:val="DefaultParagraphFont"/>
    <w:link w:val="MyStyle2"/>
    <w:rsid w:val="00217A53"/>
    <w:rPr>
      <w:sz w:val="24"/>
      <w:szCs w:val="24"/>
    </w:rPr>
  </w:style>
  <w:style w:type="paragraph" w:customStyle="1" w:styleId="Style2">
    <w:name w:val="Style2"/>
    <w:basedOn w:val="Normal"/>
    <w:link w:val="Style2Char"/>
    <w:qFormat/>
    <w:rsid w:val="00217A53"/>
    <w:pPr>
      <w:spacing w:after="240"/>
      <w:ind w:left="360"/>
    </w:pPr>
    <w:rPr>
      <w:rFonts w:ascii="Comic Sans MS" w:hAnsi="Comic Sans MS"/>
      <w:szCs w:val="24"/>
    </w:rPr>
  </w:style>
  <w:style w:type="character" w:customStyle="1" w:styleId="Style2Char">
    <w:name w:val="Style2 Char"/>
    <w:basedOn w:val="DefaultParagraphFont"/>
    <w:link w:val="Style2"/>
    <w:rsid w:val="00217A53"/>
    <w:rPr>
      <w:rFonts w:ascii="Comic Sans MS" w:hAnsi="Comic Sans MS"/>
      <w:sz w:val="24"/>
      <w:szCs w:val="24"/>
    </w:rPr>
  </w:style>
  <w:style w:type="character" w:styleId="Hyperlink">
    <w:name w:val="Hyperlink"/>
    <w:basedOn w:val="DefaultParagraphFont"/>
    <w:uiPriority w:val="99"/>
    <w:unhideWhenUsed/>
    <w:rsid w:val="00520014"/>
    <w:rPr>
      <w:color w:val="0000FF" w:themeColor="hyperlink"/>
      <w:u w:val="single"/>
    </w:rPr>
  </w:style>
  <w:style w:type="table" w:styleId="TableGrid">
    <w:name w:val="Table Grid"/>
    <w:basedOn w:val="TableNormal"/>
    <w:uiPriority w:val="59"/>
    <w:rsid w:val="00EE4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465F"/>
    <w:rPr>
      <w:rFonts w:ascii="Tahoma" w:hAnsi="Tahoma" w:cs="Tahoma"/>
      <w:sz w:val="16"/>
      <w:szCs w:val="16"/>
    </w:rPr>
  </w:style>
  <w:style w:type="character" w:customStyle="1" w:styleId="BalloonTextChar">
    <w:name w:val="Balloon Text Char"/>
    <w:basedOn w:val="DefaultParagraphFont"/>
    <w:link w:val="BalloonText"/>
    <w:uiPriority w:val="99"/>
    <w:semiHidden/>
    <w:rsid w:val="00EE465F"/>
    <w:rPr>
      <w:rFonts w:ascii="Tahoma" w:hAnsi="Tahoma" w:cs="Tahoma"/>
      <w:sz w:val="16"/>
      <w:szCs w:val="16"/>
    </w:rPr>
  </w:style>
  <w:style w:type="paragraph" w:styleId="Header">
    <w:name w:val="header"/>
    <w:basedOn w:val="Normal"/>
    <w:link w:val="HeaderChar"/>
    <w:uiPriority w:val="99"/>
    <w:unhideWhenUsed/>
    <w:rsid w:val="00953E39"/>
    <w:pPr>
      <w:tabs>
        <w:tab w:val="center" w:pos="4680"/>
        <w:tab w:val="right" w:pos="9360"/>
      </w:tabs>
    </w:pPr>
  </w:style>
  <w:style w:type="character" w:customStyle="1" w:styleId="HeaderChar">
    <w:name w:val="Header Char"/>
    <w:basedOn w:val="DefaultParagraphFont"/>
    <w:link w:val="Header"/>
    <w:uiPriority w:val="99"/>
    <w:rsid w:val="00953E39"/>
    <w:rPr>
      <w:rFonts w:ascii="Times New Roman" w:hAnsi="Times New Roman"/>
      <w:sz w:val="24"/>
    </w:rPr>
  </w:style>
  <w:style w:type="paragraph" w:styleId="Footer">
    <w:name w:val="footer"/>
    <w:basedOn w:val="Normal"/>
    <w:link w:val="FooterChar"/>
    <w:uiPriority w:val="99"/>
    <w:unhideWhenUsed/>
    <w:rsid w:val="00953E39"/>
    <w:pPr>
      <w:tabs>
        <w:tab w:val="center" w:pos="4680"/>
        <w:tab w:val="right" w:pos="9360"/>
      </w:tabs>
    </w:pPr>
  </w:style>
  <w:style w:type="character" w:customStyle="1" w:styleId="FooterChar">
    <w:name w:val="Footer Char"/>
    <w:basedOn w:val="DefaultParagraphFont"/>
    <w:link w:val="Footer"/>
    <w:uiPriority w:val="99"/>
    <w:rsid w:val="00953E39"/>
    <w:rPr>
      <w:rFonts w:ascii="Times New Roman" w:hAnsi="Times New Roman"/>
      <w:sz w:val="24"/>
    </w:rPr>
  </w:style>
  <w:style w:type="character" w:styleId="CommentReference">
    <w:name w:val="annotation reference"/>
    <w:basedOn w:val="DefaultParagraphFont"/>
    <w:uiPriority w:val="99"/>
    <w:semiHidden/>
    <w:unhideWhenUsed/>
    <w:rsid w:val="00EC1627"/>
    <w:rPr>
      <w:sz w:val="16"/>
      <w:szCs w:val="16"/>
    </w:rPr>
  </w:style>
  <w:style w:type="paragraph" w:styleId="CommentText">
    <w:name w:val="annotation text"/>
    <w:basedOn w:val="Normal"/>
    <w:link w:val="CommentTextChar"/>
    <w:uiPriority w:val="99"/>
    <w:semiHidden/>
    <w:unhideWhenUsed/>
    <w:rsid w:val="00EC1627"/>
    <w:rPr>
      <w:sz w:val="20"/>
      <w:szCs w:val="20"/>
    </w:rPr>
  </w:style>
  <w:style w:type="character" w:customStyle="1" w:styleId="CommentTextChar">
    <w:name w:val="Comment Text Char"/>
    <w:basedOn w:val="DefaultParagraphFont"/>
    <w:link w:val="CommentText"/>
    <w:uiPriority w:val="99"/>
    <w:semiHidden/>
    <w:rsid w:val="00EC162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C1627"/>
    <w:rPr>
      <w:b/>
      <w:bCs/>
    </w:rPr>
  </w:style>
  <w:style w:type="character" w:customStyle="1" w:styleId="CommentSubjectChar">
    <w:name w:val="Comment Subject Char"/>
    <w:basedOn w:val="CommentTextChar"/>
    <w:link w:val="CommentSubject"/>
    <w:uiPriority w:val="99"/>
    <w:semiHidden/>
    <w:rsid w:val="00EC162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po.gov/fdsys/pkg/USCODE-2013-title42/html/USCODE-2013-title42-chap85-subchapI-partD-subpart2-sec7511a.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Jakuta, Joseph (DOEE)</cp:lastModifiedBy>
  <cp:revision>8</cp:revision>
  <dcterms:created xsi:type="dcterms:W3CDTF">2018-03-12T19:58:00Z</dcterms:created>
  <dcterms:modified xsi:type="dcterms:W3CDTF">2019-07-26T13:39:00Z</dcterms:modified>
</cp:coreProperties>
</file>